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34F81" w14:textId="491A733A" w:rsidR="00870AE6" w:rsidRPr="00760530" w:rsidRDefault="00CC03EE" w:rsidP="00870AE6">
      <w:pPr>
        <w:pStyle w:val="3GPPHeader"/>
        <w:spacing w:after="60"/>
        <w:rPr>
          <w:sz w:val="32"/>
          <w:szCs w:val="32"/>
          <w:highlight w:val="yellow"/>
        </w:rPr>
      </w:pPr>
      <w:r w:rsidRPr="003D7A16">
        <w:t>3GPP TSG RAN WG1 #10</w:t>
      </w:r>
      <w:r w:rsidR="0047339F">
        <w:t>7</w:t>
      </w:r>
      <w:r w:rsidR="000675D2">
        <w:t>bis</w:t>
      </w:r>
      <w:r w:rsidR="00A2763A">
        <w:t>-e</w:t>
      </w:r>
      <w:r w:rsidR="00870AE6" w:rsidRPr="00760530">
        <w:tab/>
      </w:r>
      <w:r w:rsidR="00870AE6" w:rsidRPr="00760530">
        <w:rPr>
          <w:sz w:val="32"/>
          <w:szCs w:val="32"/>
        </w:rPr>
        <w:t xml:space="preserve">Tdoc </w:t>
      </w:r>
      <w:r w:rsidR="00F201F8" w:rsidRPr="00F201F8">
        <w:rPr>
          <w:sz w:val="32"/>
          <w:szCs w:val="32"/>
        </w:rPr>
        <w:t>R1-2200481</w:t>
      </w:r>
    </w:p>
    <w:p w14:paraId="6B1DE8E5" w14:textId="3C686F55" w:rsidR="00870AE6" w:rsidRPr="00CC03EE" w:rsidRDefault="00CC03EE" w:rsidP="00870AE6">
      <w:pPr>
        <w:pStyle w:val="3GPPHeader"/>
      </w:pPr>
      <w:r w:rsidRPr="003D7A16">
        <w:t xml:space="preserve">e-Meeting, </w:t>
      </w:r>
      <w:r w:rsidR="007A6AC6">
        <w:t>January</w:t>
      </w:r>
      <w:r w:rsidR="000B0FBA" w:rsidRPr="003D7A16">
        <w:t xml:space="preserve"> </w:t>
      </w:r>
      <w:r w:rsidR="000B0FBA">
        <w:t>1</w:t>
      </w:r>
      <w:r w:rsidR="007A6AC6">
        <w:t>7</w:t>
      </w:r>
      <w:r w:rsidR="000B0FBA" w:rsidRPr="003D7A16">
        <w:t xml:space="preserve">th </w:t>
      </w:r>
      <w:r w:rsidRPr="003D7A16">
        <w:t xml:space="preserve">– </w:t>
      </w:r>
      <w:r w:rsidR="007A6AC6">
        <w:t>January</w:t>
      </w:r>
      <w:r w:rsidR="00B933B6">
        <w:t xml:space="preserve"> </w:t>
      </w:r>
      <w:r w:rsidR="007A6AC6">
        <w:t>25</w:t>
      </w:r>
      <w:r w:rsidRPr="003D7A16">
        <w:t>th, 202</w:t>
      </w:r>
      <w:r w:rsidR="007A6AC6">
        <w:t>2</w:t>
      </w:r>
    </w:p>
    <w:p w14:paraId="087312D9" w14:textId="77777777" w:rsidR="00696C81" w:rsidRPr="00CC03EE" w:rsidRDefault="00696C81" w:rsidP="00870AE6">
      <w:pPr>
        <w:pStyle w:val="3GPPHeader"/>
      </w:pPr>
    </w:p>
    <w:p w14:paraId="3C6869D1" w14:textId="419AA0A2" w:rsidR="00E90E49" w:rsidRPr="003D62E9" w:rsidRDefault="00E90E49" w:rsidP="00832F73">
      <w:pPr>
        <w:pStyle w:val="3GPPHeader"/>
        <w:spacing w:after="0"/>
        <w:rPr>
          <w:sz w:val="22"/>
        </w:rPr>
      </w:pPr>
      <w:r w:rsidRPr="003D62E9">
        <w:rPr>
          <w:sz w:val="22"/>
        </w:rPr>
        <w:t>Agenda Item:</w:t>
      </w:r>
      <w:r w:rsidRPr="003D62E9">
        <w:rPr>
          <w:sz w:val="22"/>
        </w:rPr>
        <w:tab/>
      </w:r>
      <w:r w:rsidR="00AA3109" w:rsidRPr="003D62E9">
        <w:rPr>
          <w:sz w:val="22"/>
        </w:rPr>
        <w:t>8</w:t>
      </w:r>
      <w:r w:rsidR="002C6C20" w:rsidRPr="003D62E9">
        <w:rPr>
          <w:sz w:val="22"/>
        </w:rPr>
        <w:t>.</w:t>
      </w:r>
      <w:r w:rsidR="003D62E9">
        <w:rPr>
          <w:sz w:val="22"/>
        </w:rPr>
        <w:t>7</w:t>
      </w:r>
      <w:r w:rsidR="00940C3C" w:rsidRPr="003D62E9">
        <w:rPr>
          <w:sz w:val="22"/>
        </w:rPr>
        <w:t>.</w:t>
      </w:r>
      <w:r w:rsidR="007175B5">
        <w:rPr>
          <w:sz w:val="22"/>
        </w:rPr>
        <w:t>2</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7741D9DA" w:rsidR="00E90E49" w:rsidRPr="00760530" w:rsidRDefault="003D3C45" w:rsidP="00832F73">
      <w:pPr>
        <w:pStyle w:val="3GPPHeader"/>
        <w:spacing w:after="0"/>
        <w:rPr>
          <w:sz w:val="22"/>
        </w:rPr>
      </w:pPr>
      <w:r w:rsidRPr="00760530">
        <w:rPr>
          <w:sz w:val="22"/>
        </w:rPr>
        <w:t>Title:</w:t>
      </w:r>
      <w:r w:rsidR="00E90E49" w:rsidRPr="00760530">
        <w:rPr>
          <w:sz w:val="22"/>
        </w:rPr>
        <w:tab/>
      </w:r>
      <w:r w:rsidR="00166398" w:rsidRPr="00166398">
        <w:rPr>
          <w:sz w:val="22"/>
        </w:rPr>
        <w:t>Remaining aspects of active time power savings mechanisms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419A214F" w14:textId="1C35712C" w:rsidR="00381CEC" w:rsidRPr="003F618C" w:rsidRDefault="003937AE" w:rsidP="003F618C">
      <w:pPr>
        <w:pStyle w:val="BodyText"/>
        <w:jc w:val="left"/>
        <w:rPr>
          <w:rFonts w:asciiTheme="minorHAnsi" w:hAnsiTheme="minorHAnsi" w:cstheme="minorHAnsi"/>
        </w:rPr>
      </w:pPr>
      <w:r>
        <w:rPr>
          <w:rFonts w:asciiTheme="minorHAnsi" w:hAnsiTheme="minorHAnsi" w:cstheme="minorHAnsi"/>
        </w:rPr>
        <w:t xml:space="preserve">During </w:t>
      </w:r>
      <w:r w:rsidR="001E69F2">
        <w:rPr>
          <w:rFonts w:asciiTheme="minorHAnsi" w:hAnsiTheme="minorHAnsi" w:cstheme="minorHAnsi"/>
        </w:rPr>
        <w:t>the RAN1 #107-e meeting</w:t>
      </w:r>
      <w:r w:rsidR="00046472">
        <w:rPr>
          <w:rFonts w:asciiTheme="minorHAnsi" w:hAnsiTheme="minorHAnsi" w:cstheme="minorHAnsi"/>
        </w:rPr>
        <w:t>,</w:t>
      </w:r>
      <w:r w:rsidR="001E69F2">
        <w:rPr>
          <w:rFonts w:asciiTheme="minorHAnsi" w:hAnsiTheme="minorHAnsi" w:cstheme="minorHAnsi"/>
        </w:rPr>
        <w:t xml:space="preserve"> some details on the basic designs for power-saving mechanisms during the active time (i.e., PDCCH monitoring adaptation) were agreed</w:t>
      </w:r>
      <w:r w:rsidR="000578A2">
        <w:rPr>
          <w:rFonts w:asciiTheme="minorHAnsi" w:hAnsiTheme="minorHAnsi" w:cstheme="minorHAnsi"/>
        </w:rPr>
        <w:t xml:space="preserve"> upon</w:t>
      </w:r>
      <w:r w:rsidR="000916B4" w:rsidRPr="003937AE">
        <w:rPr>
          <w:rFonts w:asciiTheme="minorHAnsi" w:hAnsiTheme="minorHAnsi" w:cstheme="minorHAnsi"/>
        </w:rPr>
        <w:t>.</w:t>
      </w:r>
      <w:r w:rsidR="001E69F2">
        <w:rPr>
          <w:rFonts w:asciiTheme="minorHAnsi" w:hAnsiTheme="minorHAnsi" w:cstheme="minorHAnsi"/>
        </w:rPr>
        <w:t xml:space="preserve"> In addition, the supported configurations (e.g., SSSG-switching timer and PDCCH-skipping) were also agreed with some further details remain FFS</w:t>
      </w:r>
      <w:r w:rsidR="00CE10C7">
        <w:rPr>
          <w:rFonts w:asciiTheme="minorHAnsi" w:hAnsiTheme="minorHAnsi" w:cstheme="minorHAnsi"/>
        </w:rPr>
        <w:t>s</w:t>
      </w:r>
      <w:r w:rsidR="001E69F2">
        <w:rPr>
          <w:rFonts w:asciiTheme="minorHAnsi" w:hAnsiTheme="minorHAnsi" w:cstheme="minorHAnsi"/>
        </w:rPr>
        <w:t xml:space="preserve">. </w:t>
      </w:r>
      <w:r w:rsidR="003F618C">
        <w:rPr>
          <w:rFonts w:asciiTheme="minorHAnsi" w:hAnsiTheme="minorHAnsi" w:cstheme="minorHAnsi"/>
        </w:rPr>
        <w:t xml:space="preserve">The agreements can be seen in the </w:t>
      </w:r>
      <w:r w:rsidR="00166398">
        <w:rPr>
          <w:rFonts w:asciiTheme="minorHAnsi" w:hAnsiTheme="minorHAnsi" w:cstheme="minorHAnsi"/>
        </w:rPr>
        <w:t>Annex</w:t>
      </w:r>
      <w:r w:rsidR="003F618C">
        <w:rPr>
          <w:rFonts w:asciiTheme="minorHAnsi" w:hAnsiTheme="minorHAnsi" w:cstheme="minorHAnsi"/>
        </w:rPr>
        <w:t xml:space="preserve">. </w:t>
      </w:r>
      <w:r w:rsidR="001E69F2">
        <w:rPr>
          <w:rFonts w:asciiTheme="minorHAnsi" w:hAnsiTheme="minorHAnsi" w:cstheme="minorHAnsi"/>
        </w:rPr>
        <w:t xml:space="preserve">In this paper, </w:t>
      </w:r>
      <w:r w:rsidR="00166398">
        <w:rPr>
          <w:rFonts w:asciiTheme="minorHAnsi" w:hAnsiTheme="minorHAnsi" w:cstheme="minorHAnsi"/>
        </w:rPr>
        <w:t>remaining details</w:t>
      </w:r>
      <w:r w:rsidR="001E69F2">
        <w:rPr>
          <w:rFonts w:asciiTheme="minorHAnsi" w:hAnsiTheme="minorHAnsi" w:cstheme="minorHAnsi"/>
        </w:rPr>
        <w:t xml:space="preserve"> for PDCCH monitoring adaptation </w:t>
      </w:r>
      <w:r w:rsidR="00166398">
        <w:rPr>
          <w:rFonts w:asciiTheme="minorHAnsi" w:hAnsiTheme="minorHAnsi" w:cstheme="minorHAnsi"/>
        </w:rPr>
        <w:t xml:space="preserve">are </w:t>
      </w:r>
      <w:r w:rsidR="001E69F2">
        <w:rPr>
          <w:rFonts w:asciiTheme="minorHAnsi" w:hAnsiTheme="minorHAnsi" w:cstheme="minorHAnsi"/>
        </w:rPr>
        <w:t>given, i.e., to address some of the FFSs and discuss items that are not finalized from the previous RAN1 meetings.</w:t>
      </w:r>
    </w:p>
    <w:p w14:paraId="0EEB64D8" w14:textId="77777777" w:rsidR="003937AE" w:rsidRPr="00C437D1" w:rsidRDefault="003937AE" w:rsidP="000916B4">
      <w:pPr>
        <w:pStyle w:val="BodyText"/>
        <w:rPr>
          <w:rFonts w:cs="Arial"/>
        </w:rPr>
      </w:pPr>
    </w:p>
    <w:p w14:paraId="4589AB9C" w14:textId="1EAF238C" w:rsidR="000916B4" w:rsidRPr="00DD4203" w:rsidRDefault="000916B4" w:rsidP="00DD4203">
      <w:pPr>
        <w:pStyle w:val="Heading1"/>
        <w:rPr>
          <w:lang w:val="en-US"/>
        </w:rPr>
      </w:pPr>
      <w:bookmarkStart w:id="0" w:name="_Ref178064866"/>
      <w:r w:rsidRPr="005F577B">
        <w:rPr>
          <w:lang w:val="en-US"/>
        </w:rPr>
        <w:t>2</w:t>
      </w:r>
      <w:r w:rsidRPr="005F577B">
        <w:rPr>
          <w:lang w:val="en-US"/>
        </w:rPr>
        <w:tab/>
      </w:r>
      <w:bookmarkEnd w:id="0"/>
      <w:r w:rsidR="007A3D6A">
        <w:rPr>
          <w:lang w:val="en-US"/>
        </w:rPr>
        <w:t>Discussion</w:t>
      </w:r>
    </w:p>
    <w:p w14:paraId="4088D8F0" w14:textId="0460CF93" w:rsidR="00672B4F" w:rsidRDefault="00672B4F" w:rsidP="00672B4F">
      <w:pPr>
        <w:pStyle w:val="Heading2"/>
      </w:pPr>
      <w:bookmarkStart w:id="1" w:name="_Toc5022906"/>
      <w:bookmarkEnd w:id="1"/>
      <w:r>
        <w:t>2.1</w:t>
      </w:r>
      <w:r>
        <w:tab/>
        <w:t>Design of PDCCH monitoring adaptation feature</w:t>
      </w:r>
    </w:p>
    <w:p w14:paraId="7AB7DB86" w14:textId="2C866D53" w:rsidR="005879E4" w:rsidRDefault="005879E4" w:rsidP="005879E4">
      <w:pPr>
        <w:pStyle w:val="Heading3"/>
      </w:pPr>
      <w:r>
        <w:t>2.1.1</w:t>
      </w:r>
      <w:r>
        <w:tab/>
        <w:t xml:space="preserve">Basic </w:t>
      </w:r>
      <w:r w:rsidR="00A436DE">
        <w:t>mechanism</w:t>
      </w:r>
    </w:p>
    <w:p w14:paraId="1A27B418" w14:textId="77777777" w:rsidR="009F0969" w:rsidRDefault="009F0969" w:rsidP="009F0969">
      <w:pPr>
        <w:rPr>
          <w:lang w:val="en-GB" w:eastAsia="ja-JP"/>
        </w:rPr>
      </w:pPr>
      <w:r>
        <w:rPr>
          <w:lang w:val="en-GB" w:eastAsia="ja-JP"/>
        </w:rPr>
        <w:t xml:space="preserve">In the previous meeting, multiple skipping durations, </w:t>
      </w:r>
      <w:r w:rsidRPr="001848C3">
        <w:rPr>
          <w:i/>
          <w:iCs/>
          <w:lang w:val="en-GB" w:eastAsia="ja-JP"/>
        </w:rPr>
        <w:t>M</w:t>
      </w:r>
      <w:r>
        <w:rPr>
          <w:lang w:val="en-GB" w:eastAsia="ja-JP"/>
        </w:rPr>
        <w:t xml:space="preserve">, are supported for Rel. 17 PDCCH monitoring adaptation, at least for Case 1, i.e., PDCCH-skipping only case. The remaining question is whether to support </w:t>
      </w:r>
      <w:r>
        <w:rPr>
          <w:i/>
          <w:iCs/>
          <w:lang w:val="en-GB" w:eastAsia="ja-JP"/>
        </w:rPr>
        <w:t>M</w:t>
      </w:r>
      <w:r>
        <w:rPr>
          <w:lang w:val="en-GB" w:eastAsia="ja-JP"/>
        </w:rPr>
        <w:t xml:space="preserve"> = 2 or </w:t>
      </w:r>
      <w:r>
        <w:rPr>
          <w:i/>
          <w:iCs/>
          <w:lang w:val="en-GB" w:eastAsia="ja-JP"/>
        </w:rPr>
        <w:t>M</w:t>
      </w:r>
      <w:r>
        <w:rPr>
          <w:lang w:val="en-GB" w:eastAsia="ja-JP"/>
        </w:rPr>
        <w:t xml:space="preserve"> = 3. </w:t>
      </w:r>
    </w:p>
    <w:p w14:paraId="0034CF25" w14:textId="6737D469" w:rsidR="009F0969" w:rsidRDefault="009F0969" w:rsidP="009F0969">
      <w:pPr>
        <w:rPr>
          <w:lang w:val="en-GB" w:eastAsia="ja-JP"/>
        </w:rPr>
      </w:pPr>
      <w:r>
        <w:rPr>
          <w:lang w:val="en-GB" w:eastAsia="ja-JP"/>
        </w:rPr>
        <w:t xml:space="preserve">In PDCCH-skipping, </w:t>
      </w:r>
      <w:r w:rsidR="00CD2143">
        <w:rPr>
          <w:lang w:val="en-GB" w:eastAsia="ja-JP"/>
        </w:rPr>
        <w:t>it is already to have</w:t>
      </w:r>
      <w:r>
        <w:rPr>
          <w:lang w:val="en-GB" w:eastAsia="ja-JP"/>
        </w:rPr>
        <w:t xml:space="preserve"> codepoint ‘00’ to represent behaviour 1 (no-skipping). As we have 2 bits for </w:t>
      </w:r>
      <w:r w:rsidR="00453323">
        <w:rPr>
          <w:lang w:val="en-GB" w:eastAsia="ja-JP"/>
        </w:rPr>
        <w:t>the</w:t>
      </w:r>
      <w:r>
        <w:rPr>
          <w:lang w:val="en-GB" w:eastAsia="ja-JP"/>
        </w:rPr>
        <w:t xml:space="preserve"> PDCCH-skipping indication for Case 1, it is intuitive to have the remaining codepoints to represent behaviour 1A (to skip the PDCCH monitoring) with 3 different durations. Note that this support is the maximum number of configured values, i.e., the number of skipping durations can be configurable to the NW (e.g., whether to configure 2 or 3 skipping durations).</w:t>
      </w:r>
      <w:r w:rsidR="00140698">
        <w:rPr>
          <w:lang w:val="en-GB" w:eastAsia="ja-JP"/>
        </w:rPr>
        <w:t xml:space="preserve"> </w:t>
      </w:r>
      <w:r w:rsidR="00140698" w:rsidRPr="00140698">
        <w:rPr>
          <w:lang w:val="en-GB" w:eastAsia="ja-JP"/>
        </w:rPr>
        <w:t>Having up to three skipping durations can be useful e.g.</w:t>
      </w:r>
      <w:r w:rsidR="00140698">
        <w:rPr>
          <w:lang w:val="en-GB" w:eastAsia="ja-JP"/>
        </w:rPr>
        <w:t>,</w:t>
      </w:r>
      <w:r w:rsidR="00140698" w:rsidRPr="00140698">
        <w:rPr>
          <w:lang w:val="en-GB" w:eastAsia="ja-JP"/>
        </w:rPr>
        <w:t xml:space="preserve"> to match multi-stream traffic patterns with known periodicities.</w:t>
      </w:r>
    </w:p>
    <w:p w14:paraId="04FB6A6E" w14:textId="77777777" w:rsidR="009F0969" w:rsidRDefault="009F0969" w:rsidP="009F0969">
      <w:pPr>
        <w:spacing w:after="0"/>
        <w:rPr>
          <w:lang w:val="en-GB" w:eastAsia="ja-JP"/>
        </w:rPr>
      </w:pPr>
      <w:r>
        <w:rPr>
          <w:lang w:val="en-GB" w:eastAsia="ja-JP"/>
        </w:rPr>
        <w:t>Considering the above, the following is proposed for the bit mapping for Case 1.</w:t>
      </w:r>
    </w:p>
    <w:p w14:paraId="3C2EA2FA" w14:textId="77777777" w:rsidR="009F0969" w:rsidRDefault="009F0969" w:rsidP="009F0969">
      <w:pPr>
        <w:pStyle w:val="ListParagraph"/>
        <w:numPr>
          <w:ilvl w:val="0"/>
          <w:numId w:val="56"/>
        </w:numPr>
        <w:rPr>
          <w:lang w:val="en-GB" w:eastAsia="ja-JP"/>
        </w:rPr>
      </w:pPr>
      <w:r>
        <w:rPr>
          <w:lang w:val="en-GB" w:eastAsia="ja-JP"/>
        </w:rPr>
        <w:t>00: Behaviour 1</w:t>
      </w:r>
    </w:p>
    <w:p w14:paraId="642F2EB1" w14:textId="77777777" w:rsidR="009F0969" w:rsidRDefault="009F0969" w:rsidP="009F0969">
      <w:pPr>
        <w:pStyle w:val="ListParagraph"/>
        <w:numPr>
          <w:ilvl w:val="0"/>
          <w:numId w:val="56"/>
        </w:numPr>
        <w:rPr>
          <w:lang w:val="en-GB" w:eastAsia="ja-JP"/>
        </w:rPr>
      </w:pPr>
      <w:r>
        <w:rPr>
          <w:lang w:val="en-GB" w:eastAsia="ja-JP"/>
        </w:rPr>
        <w:t>01: Behaviour 1A with skipping duration T1</w:t>
      </w:r>
    </w:p>
    <w:p w14:paraId="011F1625" w14:textId="77777777" w:rsidR="009F0969" w:rsidRPr="006B21BF" w:rsidRDefault="009F0969" w:rsidP="009F0969">
      <w:pPr>
        <w:pStyle w:val="ListParagraph"/>
        <w:numPr>
          <w:ilvl w:val="0"/>
          <w:numId w:val="56"/>
        </w:numPr>
        <w:rPr>
          <w:lang w:val="en-GB" w:eastAsia="ja-JP"/>
        </w:rPr>
      </w:pPr>
      <w:r>
        <w:rPr>
          <w:lang w:val="en-GB" w:eastAsia="ja-JP"/>
        </w:rPr>
        <w:t>10: Behaviour 1A with skipping duration T2</w:t>
      </w:r>
    </w:p>
    <w:p w14:paraId="20A134C1" w14:textId="77777777" w:rsidR="009F0969" w:rsidRPr="00296421" w:rsidRDefault="009F0969" w:rsidP="009F0969">
      <w:pPr>
        <w:pStyle w:val="ListParagraph"/>
        <w:numPr>
          <w:ilvl w:val="0"/>
          <w:numId w:val="56"/>
        </w:numPr>
        <w:spacing w:after="240"/>
        <w:rPr>
          <w:lang w:val="en-GB" w:eastAsia="ja-JP"/>
        </w:rPr>
      </w:pPr>
      <w:r>
        <w:rPr>
          <w:lang w:val="en-GB" w:eastAsia="ja-JP"/>
        </w:rPr>
        <w:t>11: Behaviour 1A with skipping duration T3 (if configured)</w:t>
      </w:r>
    </w:p>
    <w:p w14:paraId="63718324" w14:textId="26338EDC" w:rsidR="009F0969" w:rsidRDefault="009F0969" w:rsidP="009F0969">
      <w:pPr>
        <w:pStyle w:val="Proposal"/>
        <w:numPr>
          <w:ilvl w:val="0"/>
          <w:numId w:val="3"/>
        </w:numPr>
        <w:tabs>
          <w:tab w:val="clear" w:pos="1304"/>
        </w:tabs>
        <w:ind w:left="1701" w:hanging="1701"/>
        <w:jc w:val="left"/>
        <w:rPr>
          <w:rFonts w:asciiTheme="minorHAnsi" w:hAnsiTheme="minorHAnsi" w:cstheme="minorHAnsi"/>
        </w:rPr>
      </w:pPr>
      <w:bookmarkStart w:id="2" w:name="_Toc86930093"/>
      <w:bookmarkStart w:id="3" w:name="_Toc92804318"/>
      <w:r w:rsidRPr="00296421">
        <w:rPr>
          <w:rFonts w:asciiTheme="minorHAnsi" w:hAnsiTheme="minorHAnsi" w:cstheme="minorHAnsi"/>
        </w:rPr>
        <w:t xml:space="preserve">Support </w:t>
      </w:r>
      <w:r w:rsidRPr="00296421">
        <w:rPr>
          <w:rFonts w:asciiTheme="minorHAnsi" w:hAnsiTheme="minorHAnsi" w:cstheme="minorHAnsi"/>
          <w:i/>
          <w:iCs/>
        </w:rPr>
        <w:t>M</w:t>
      </w:r>
      <w:r w:rsidRPr="00296421">
        <w:rPr>
          <w:rFonts w:asciiTheme="minorHAnsi" w:hAnsiTheme="minorHAnsi" w:cstheme="minorHAnsi"/>
        </w:rPr>
        <w:t xml:space="preserve"> = 3 for PDCCH-skipping with 2 bits indication</w:t>
      </w:r>
      <w:r w:rsidRPr="00EE7BB0">
        <w:rPr>
          <w:rFonts w:asciiTheme="minorHAnsi" w:hAnsiTheme="minorHAnsi" w:cstheme="minorHAnsi"/>
        </w:rPr>
        <w:t>.</w:t>
      </w:r>
      <w:bookmarkEnd w:id="2"/>
      <w:bookmarkEnd w:id="3"/>
    </w:p>
    <w:p w14:paraId="19943417" w14:textId="7B261EE6" w:rsidR="00DD4203" w:rsidRDefault="00DD4203" w:rsidP="001864BB">
      <w:pPr>
        <w:pStyle w:val="Proposal"/>
        <w:numPr>
          <w:ilvl w:val="0"/>
          <w:numId w:val="0"/>
        </w:numPr>
        <w:jc w:val="left"/>
        <w:rPr>
          <w:rFonts w:asciiTheme="minorHAnsi" w:hAnsiTheme="minorHAnsi" w:cstheme="minorHAnsi"/>
        </w:rPr>
      </w:pPr>
    </w:p>
    <w:p w14:paraId="3AC2CAC4" w14:textId="6999C11B" w:rsidR="00840296" w:rsidRDefault="00840296" w:rsidP="001864BB">
      <w:pPr>
        <w:pStyle w:val="Heading3"/>
        <w:ind w:left="0" w:firstLine="0"/>
      </w:pPr>
      <w:r>
        <w:lastRenderedPageBreak/>
        <w:t>2.1.2</w:t>
      </w:r>
      <w:r>
        <w:tab/>
        <w:t>PDCCH monitoring adaptation configurations</w:t>
      </w:r>
      <w:r>
        <w:tab/>
      </w:r>
      <w:r>
        <w:tab/>
      </w:r>
    </w:p>
    <w:p w14:paraId="08F0E315" w14:textId="6A84D514" w:rsidR="00840296" w:rsidRDefault="00840296" w:rsidP="00C75CBF">
      <w:pPr>
        <w:pStyle w:val="Heading4"/>
        <w:ind w:left="1134" w:hanging="1134"/>
      </w:pPr>
      <w:r>
        <w:t>2.1.2.1</w:t>
      </w:r>
      <w:r>
        <w:tab/>
        <w:t>PDCCH-skipping configurations</w:t>
      </w:r>
    </w:p>
    <w:p w14:paraId="4FDD49AF" w14:textId="4BAA7A73" w:rsidR="00840296" w:rsidRPr="00B85A56" w:rsidRDefault="00840296" w:rsidP="00840296">
      <w:pPr>
        <w:rPr>
          <w:lang w:val="en-GB" w:eastAsia="ja-JP"/>
        </w:rPr>
      </w:pPr>
      <w:r w:rsidRPr="00B85A56">
        <w:rPr>
          <w:lang w:val="en-GB" w:eastAsia="ja-JP"/>
        </w:rPr>
        <w:t>In PDCCH-skipping, the UE is allowed to skip PDCCH monitoring according to a duration set by the higher layer. Here, the skipping duration can be configured, e.g., per cell, per BWP, or even configured differently for each SSSG. Many configurations related to PDCCH monitoring, however, lie on the BWP configuration, e.g., the subcarrier spacing (SCS), scheduling offset, SSs, BW, etc. Thus, it is intuitive to also have the skipping duration configured per BWP. Having the skipping duration per cell, for example, may limit the flexibility of the skipping duration that can be configured, e.g., the first and the second BWP may have different usage (for example a more throughput-friendly and power-friendly BWP). Considering these factors, it is preferable to have the skipping duration configured per BWP. Note that to get a common design and to minimize the standardization effort, the per-BWP skipping duration configuration should apply for both the case of SSSG-switching is configured and not configured.</w:t>
      </w:r>
    </w:p>
    <w:p w14:paraId="66285C26" w14:textId="3F219A61" w:rsidR="00E2189A" w:rsidRPr="00B85A56" w:rsidRDefault="00E2189A" w:rsidP="00840296">
      <w:pPr>
        <w:rPr>
          <w:lang w:val="en-GB" w:eastAsia="ja-JP"/>
        </w:rPr>
      </w:pPr>
      <w:r w:rsidRPr="00CD3BDD">
        <w:rPr>
          <w:lang w:eastAsia="ja-JP"/>
        </w:rPr>
        <w:t>In PDCCH monitoring adaptation, up to 3 skipping durations can be configured</w:t>
      </w:r>
      <w:r>
        <w:rPr>
          <w:lang w:eastAsia="ja-JP"/>
        </w:rPr>
        <w:t xml:space="preserve"> for the case of PDCCH-skipping only, and up to 2 skipping durations for the case of both SSSG-switching and PDCCH-skipping are configured</w:t>
      </w:r>
      <w:r w:rsidRPr="00CD3BDD">
        <w:rPr>
          <w:lang w:eastAsia="ja-JP"/>
        </w:rPr>
        <w:t xml:space="preserve">. </w:t>
      </w:r>
      <w:r w:rsidR="0074721F">
        <w:rPr>
          <w:lang w:eastAsia="ja-JP"/>
        </w:rPr>
        <w:t>In addition to</w:t>
      </w:r>
      <w:r w:rsidRPr="00CD3BDD">
        <w:rPr>
          <w:lang w:eastAsia="ja-JP"/>
        </w:rPr>
        <w:t xml:space="preserve"> exploiting these multiple values for UE power-saving based on the traffic, the multiple values can also be used by the NW to employ PDCCH monitoring adaptation based on the other parameters configured for the UE</w:t>
      </w:r>
      <w:r>
        <w:rPr>
          <w:lang w:eastAsia="ja-JP"/>
        </w:rPr>
        <w:t xml:space="preserve"> (e.g., switching timer and minimum scheduling offset)</w:t>
      </w:r>
      <w:r w:rsidRPr="00CD3BDD">
        <w:rPr>
          <w:lang w:eastAsia="ja-JP"/>
        </w:rPr>
        <w:t xml:space="preserve">. Therefore, a restriction for the configured skipping duration based on other configurations, e.g., switching timer, minimum scheduling offset, etc., is not required, i.e., </w:t>
      </w:r>
      <w:r>
        <w:rPr>
          <w:lang w:eastAsia="ja-JP"/>
        </w:rPr>
        <w:t>if required, the NW proprietary-based solution can be used.</w:t>
      </w:r>
    </w:p>
    <w:p w14:paraId="7760ADEA" w14:textId="495302C0" w:rsidR="00840296" w:rsidRPr="00D15D46" w:rsidRDefault="00172326" w:rsidP="00840296">
      <w:pPr>
        <w:pStyle w:val="Proposal"/>
        <w:numPr>
          <w:ilvl w:val="0"/>
          <w:numId w:val="3"/>
        </w:numPr>
        <w:tabs>
          <w:tab w:val="clear" w:pos="1304"/>
        </w:tabs>
        <w:ind w:left="1701" w:hanging="1701"/>
        <w:jc w:val="left"/>
        <w:rPr>
          <w:rFonts w:asciiTheme="minorHAnsi" w:hAnsiTheme="minorHAnsi" w:cstheme="minorHAnsi"/>
        </w:rPr>
      </w:pPr>
      <w:bookmarkStart w:id="4" w:name="_Toc86930099"/>
      <w:bookmarkStart w:id="5" w:name="_Toc92804319"/>
      <w:r>
        <w:rPr>
          <w:rFonts w:asciiTheme="minorHAnsi" w:hAnsiTheme="minorHAnsi" w:cstheme="minorHAnsi"/>
        </w:rPr>
        <w:t>For PDCCH skipping, t</w:t>
      </w:r>
      <w:r w:rsidR="00840296" w:rsidRPr="00D15D46">
        <w:rPr>
          <w:rFonts w:asciiTheme="minorHAnsi" w:hAnsiTheme="minorHAnsi" w:cstheme="minorHAnsi"/>
        </w:rPr>
        <w:t>he skipping durations are configured per BWP.</w:t>
      </w:r>
      <w:bookmarkEnd w:id="4"/>
      <w:bookmarkEnd w:id="5"/>
    </w:p>
    <w:p w14:paraId="34AC205D" w14:textId="219EF634" w:rsidR="00B5578E" w:rsidRPr="00B5578E" w:rsidRDefault="00B5578E" w:rsidP="00840296">
      <w:pPr>
        <w:rPr>
          <w:b/>
          <w:bCs/>
          <w:color w:val="C00000"/>
          <w:lang w:eastAsia="ja-JP"/>
        </w:rPr>
      </w:pPr>
    </w:p>
    <w:p w14:paraId="0B1C5864" w14:textId="28BE8173" w:rsidR="00C61075" w:rsidRDefault="00333F28" w:rsidP="000A03A1">
      <w:pPr>
        <w:rPr>
          <w:lang w:eastAsia="ja-JP"/>
        </w:rPr>
      </w:pPr>
      <w:r>
        <w:rPr>
          <w:lang w:eastAsia="ja-JP"/>
        </w:rPr>
        <w:t>In some use case</w:t>
      </w:r>
      <w:r w:rsidR="0030160D">
        <w:rPr>
          <w:lang w:eastAsia="ja-JP"/>
        </w:rPr>
        <w:t>s</w:t>
      </w:r>
      <w:r>
        <w:rPr>
          <w:lang w:eastAsia="ja-JP"/>
        </w:rPr>
        <w:t xml:space="preserve">, it is possible that the UE is configured </w:t>
      </w:r>
      <w:r w:rsidR="0074721F">
        <w:rPr>
          <w:lang w:eastAsia="ja-JP"/>
        </w:rPr>
        <w:t>multiple</w:t>
      </w:r>
      <w:r>
        <w:rPr>
          <w:lang w:eastAsia="ja-JP"/>
        </w:rPr>
        <w:t xml:space="preserve"> PDCCH monitoring occasion</w:t>
      </w:r>
      <w:r w:rsidR="00810AD2">
        <w:rPr>
          <w:lang w:eastAsia="ja-JP"/>
        </w:rPr>
        <w:t>s</w:t>
      </w:r>
      <w:r>
        <w:rPr>
          <w:lang w:eastAsia="ja-JP"/>
        </w:rPr>
        <w:t xml:space="preserve"> in one slot</w:t>
      </w:r>
      <w:r w:rsidR="00741CAE">
        <w:rPr>
          <w:lang w:eastAsia="ja-JP"/>
        </w:rPr>
        <w:t>, e.g., in the first OFDM symbol and the OFDM eighth symbol</w:t>
      </w:r>
      <w:r>
        <w:rPr>
          <w:lang w:eastAsia="ja-JP"/>
        </w:rPr>
        <w:t>.</w:t>
      </w:r>
      <w:r w:rsidR="008E309F">
        <w:rPr>
          <w:lang w:eastAsia="ja-JP"/>
        </w:rPr>
        <w:t xml:space="preserve"> H</w:t>
      </w:r>
      <w:r w:rsidR="00200D74">
        <w:rPr>
          <w:lang w:eastAsia="ja-JP"/>
        </w:rPr>
        <w:t xml:space="preserve">owever, </w:t>
      </w:r>
      <w:r w:rsidR="003E0F22">
        <w:rPr>
          <w:lang w:eastAsia="ja-JP"/>
        </w:rPr>
        <w:t xml:space="preserve">it is possible that </w:t>
      </w:r>
      <w:r w:rsidR="004D61E0">
        <w:rPr>
          <w:lang w:eastAsia="ja-JP"/>
        </w:rPr>
        <w:t xml:space="preserve">the </w:t>
      </w:r>
      <w:r w:rsidR="008E309F">
        <w:rPr>
          <w:lang w:eastAsia="ja-JP"/>
        </w:rPr>
        <w:t xml:space="preserve">NW will only transmit PDCCH (and schedules PDSCH or PUSCH) once in every slot, e.g., due to NW load. In this circumstance, it will be beneficial if the UE monitors only one PDCCH monitoring occasion out of those two. While this can be obtained via SSSG-switching, it will be beneficial if it can also be achieved via </w:t>
      </w:r>
      <w:r w:rsidR="007F0A14">
        <w:rPr>
          <w:lang w:eastAsia="ja-JP"/>
        </w:rPr>
        <w:t>PDCCH-skipping as a UE may support only PDCCH-skipping. In addition, it is expected that SSSG-switching entails a switching delay</w:t>
      </w:r>
      <w:r w:rsidR="00AC3A67">
        <w:rPr>
          <w:lang w:eastAsia="ja-JP"/>
        </w:rPr>
        <w:t xml:space="preserve"> which may be more than half of the slot.</w:t>
      </w:r>
      <w:r w:rsidR="00AF13E7">
        <w:rPr>
          <w:lang w:eastAsia="ja-JP"/>
        </w:rPr>
        <w:t xml:space="preserve"> Considering this, it is beneficial to support a symbol level skipping duration, e.g., half slot.</w:t>
      </w:r>
      <w:r w:rsidR="00F32CEC">
        <w:rPr>
          <w:lang w:eastAsia="ja-JP"/>
        </w:rPr>
        <w:t xml:space="preserve"> </w:t>
      </w:r>
    </w:p>
    <w:p w14:paraId="6BDD5D15" w14:textId="3E828D0B" w:rsidR="00ED1134" w:rsidRDefault="0074721F" w:rsidP="000A03A1">
      <w:pPr>
        <w:rPr>
          <w:lang w:eastAsia="ja-JP"/>
        </w:rPr>
      </w:pPr>
      <w:r>
        <w:rPr>
          <w:lang w:eastAsia="ja-JP"/>
        </w:rPr>
        <w:t>This</w:t>
      </w:r>
      <w:r w:rsidR="00F32CEC">
        <w:rPr>
          <w:lang w:eastAsia="ja-JP"/>
        </w:rPr>
        <w:t xml:space="preserve"> </w:t>
      </w:r>
      <w:r>
        <w:rPr>
          <w:lang w:eastAsia="ja-JP"/>
        </w:rPr>
        <w:t>can</w:t>
      </w:r>
      <w:r w:rsidR="00F32CEC">
        <w:rPr>
          <w:lang w:eastAsia="ja-JP"/>
        </w:rPr>
        <w:t xml:space="preserve"> also depend on how the starting point of the skipping duration is defined. </w:t>
      </w:r>
      <w:r w:rsidR="00985F13">
        <w:rPr>
          <w:lang w:eastAsia="ja-JP"/>
        </w:rPr>
        <w:t xml:space="preserve">I.e., half slot skipping duration will </w:t>
      </w:r>
      <w:r w:rsidR="003C6466">
        <w:rPr>
          <w:lang w:eastAsia="ja-JP"/>
        </w:rPr>
        <w:t xml:space="preserve">be </w:t>
      </w:r>
      <w:r w:rsidR="00985F13">
        <w:rPr>
          <w:lang w:eastAsia="ja-JP"/>
        </w:rPr>
        <w:t>beneficial if the skipping duration starts from the</w:t>
      </w:r>
      <w:r w:rsidR="00616073">
        <w:rPr>
          <w:lang w:eastAsia="ja-JP"/>
        </w:rPr>
        <w:t xml:space="preserve"> last</w:t>
      </w:r>
      <w:r w:rsidR="00985F13">
        <w:rPr>
          <w:lang w:eastAsia="ja-JP"/>
        </w:rPr>
        <w:t xml:space="preserve"> </w:t>
      </w:r>
      <w:r w:rsidR="00616073">
        <w:rPr>
          <w:lang w:eastAsia="ja-JP"/>
        </w:rPr>
        <w:t>symbol in which the skipping indication is received. The benefit of half slot skipping duration will be minimum if the skipping duration starts</w:t>
      </w:r>
      <w:r w:rsidR="00DF7C68">
        <w:rPr>
          <w:lang w:eastAsia="ja-JP"/>
        </w:rPr>
        <w:t>,</w:t>
      </w:r>
      <w:r w:rsidR="00DF7C68" w:rsidRPr="00DF7C68">
        <w:rPr>
          <w:lang w:eastAsia="ja-JP"/>
        </w:rPr>
        <w:t xml:space="preserve"> </w:t>
      </w:r>
      <w:r w:rsidR="00DF7C68">
        <w:rPr>
          <w:lang w:eastAsia="ja-JP"/>
        </w:rPr>
        <w:t xml:space="preserve">e.g., </w:t>
      </w:r>
      <w:r w:rsidR="00616073">
        <w:rPr>
          <w:lang w:eastAsia="ja-JP"/>
        </w:rPr>
        <w:t>from the first symbol of the first slot</w:t>
      </w:r>
      <w:r w:rsidR="000D396D">
        <w:rPr>
          <w:lang w:eastAsia="ja-JP"/>
        </w:rPr>
        <w:t xml:space="preserve"> after the skipping indication.</w:t>
      </w:r>
    </w:p>
    <w:p w14:paraId="417424AD" w14:textId="3F46A287" w:rsidR="00B5578E" w:rsidRPr="003F7459" w:rsidRDefault="00421DD8" w:rsidP="00840296">
      <w:pPr>
        <w:pStyle w:val="Proposal"/>
        <w:numPr>
          <w:ilvl w:val="0"/>
          <w:numId w:val="3"/>
        </w:numPr>
        <w:tabs>
          <w:tab w:val="clear" w:pos="1304"/>
        </w:tabs>
        <w:ind w:left="1701" w:hanging="1701"/>
        <w:jc w:val="left"/>
        <w:rPr>
          <w:rFonts w:asciiTheme="minorHAnsi" w:hAnsiTheme="minorHAnsi" w:cstheme="minorHAnsi"/>
        </w:rPr>
      </w:pPr>
      <w:bookmarkStart w:id="6" w:name="_Toc92804320"/>
      <w:r>
        <w:rPr>
          <w:rFonts w:asciiTheme="minorHAnsi" w:hAnsiTheme="minorHAnsi" w:cstheme="minorHAnsi"/>
        </w:rPr>
        <w:t>Support</w:t>
      </w:r>
      <w:r w:rsidR="00315BAC">
        <w:rPr>
          <w:rFonts w:asciiTheme="minorHAnsi" w:hAnsiTheme="minorHAnsi" w:cstheme="minorHAnsi"/>
        </w:rPr>
        <w:t xml:space="preserve"> a symbol level skipping duration, e.g., half slot</w:t>
      </w:r>
      <w:r w:rsidR="00444AA5">
        <w:rPr>
          <w:rFonts w:asciiTheme="minorHAnsi" w:hAnsiTheme="minorHAnsi" w:cstheme="minorHAnsi"/>
        </w:rPr>
        <w:t xml:space="preserve"> if the skipping duration starts from the last symbol in which the skipping indication is received.</w:t>
      </w:r>
      <w:bookmarkEnd w:id="6"/>
    </w:p>
    <w:p w14:paraId="6C220AFE" w14:textId="562C4077" w:rsidR="00B5578E" w:rsidRPr="00840296" w:rsidRDefault="00B5578E" w:rsidP="00840296">
      <w:pPr>
        <w:rPr>
          <w:lang w:eastAsia="ja-JP"/>
        </w:rPr>
      </w:pPr>
    </w:p>
    <w:p w14:paraId="0FC7ABDF" w14:textId="61D95435" w:rsidR="00FF2B41" w:rsidRDefault="00FF2B41">
      <w:pPr>
        <w:pStyle w:val="Heading4"/>
      </w:pPr>
      <w:r>
        <w:t>2.1.2.2</w:t>
      </w:r>
      <w:r>
        <w:tab/>
        <w:t>SSSG-switching configurations</w:t>
      </w:r>
    </w:p>
    <w:p w14:paraId="108DBC1A" w14:textId="77777777" w:rsidR="00317C62" w:rsidRPr="005A7882" w:rsidRDefault="00317C62" w:rsidP="00317C62">
      <w:pPr>
        <w:rPr>
          <w:lang w:eastAsia="ja-JP"/>
        </w:rPr>
      </w:pPr>
      <w:r w:rsidRPr="005A7882">
        <w:rPr>
          <w:lang w:eastAsia="ja-JP"/>
        </w:rPr>
        <w:t xml:space="preserve">For Rel. 17 PDCCH monitoring adaptation, it is agreed that up to 3 SSSGs are supported (at least for the capable UEs). This is a bit different with Rel. 16 SSSG-switching where only 2 SSSGs are supported. Having only 2 SSSGs, Rel. 16 is only equipped with 1 switching timer, in which, when the switching timer ends, the UE switches from SSSG1 to SSSG0. </w:t>
      </w:r>
    </w:p>
    <w:p w14:paraId="2875F5A2" w14:textId="77777777" w:rsidR="00317C62" w:rsidRDefault="00317C62" w:rsidP="00317C62">
      <w:pPr>
        <w:rPr>
          <w:lang w:eastAsia="ja-JP"/>
        </w:rPr>
      </w:pPr>
      <w:r w:rsidRPr="005A7882">
        <w:rPr>
          <w:lang w:eastAsia="ja-JP"/>
        </w:rPr>
        <w:lastRenderedPageBreak/>
        <w:t>Having 3 SSSGs, there will be 2 non-default SSSGs. To give better flexibility to the NW, having one switching timer per non-default SSSG can be supported. Note that when 3 SSSGs and 2 non-default switching timers are supported, the NW may exploit not only the SS periodicity, but also the switching timers for the purpose of UE power saving. For example, the NW may configure the UE with SSSG1 and SSSG2 having the same SSs and only differ in timer. The NW may then command the UE to switch to either SSSG1 or SSSG2 based on the expected interval between the data burst.</w:t>
      </w:r>
    </w:p>
    <w:p w14:paraId="505D0691" w14:textId="77777777" w:rsidR="00317C62" w:rsidRPr="005A7882" w:rsidRDefault="00317C62" w:rsidP="00317C62">
      <w:pPr>
        <w:rPr>
          <w:lang w:eastAsia="ja-JP"/>
        </w:rPr>
      </w:pPr>
      <w:r w:rsidRPr="005A7882">
        <w:rPr>
          <w:lang w:eastAsia="ja-JP"/>
        </w:rPr>
        <w:t xml:space="preserve">Note that this additional timer should be seen as an addition that should not give </w:t>
      </w:r>
      <w:r>
        <w:rPr>
          <w:lang w:eastAsia="ja-JP"/>
        </w:rPr>
        <w:t xml:space="preserve">a </w:t>
      </w:r>
      <w:r w:rsidRPr="005A7882">
        <w:rPr>
          <w:lang w:eastAsia="ja-JP"/>
        </w:rPr>
        <w:t>notable burden to the specification, i.e., adding a timer should only give an impact in terms of adding RRC parameter</w:t>
      </w:r>
      <w:r>
        <w:rPr>
          <w:lang w:eastAsia="ja-JP"/>
        </w:rPr>
        <w:t>s</w:t>
      </w:r>
      <w:r w:rsidRPr="005A7882">
        <w:rPr>
          <w:lang w:eastAsia="ja-JP"/>
        </w:rPr>
        <w:t>. Addition</w:t>
      </w:r>
      <w:r>
        <w:rPr>
          <w:lang w:eastAsia="ja-JP"/>
        </w:rPr>
        <w:t>s</w:t>
      </w:r>
      <w:r w:rsidRPr="005A7882">
        <w:rPr>
          <w:lang w:eastAsia="ja-JP"/>
        </w:rPr>
        <w:t xml:space="preserve"> that lead to a more complicated mechanism and behavior should be avoided, e.g., supporting different behavior for each switching timer, etc. </w:t>
      </w:r>
    </w:p>
    <w:p w14:paraId="1BD1C3CB" w14:textId="25ED3422" w:rsidR="00317C62" w:rsidRPr="00A1797E" w:rsidRDefault="00317C62" w:rsidP="00317C62">
      <w:pPr>
        <w:pStyle w:val="Proposal"/>
        <w:numPr>
          <w:ilvl w:val="0"/>
          <w:numId w:val="3"/>
        </w:numPr>
        <w:tabs>
          <w:tab w:val="clear" w:pos="1304"/>
        </w:tabs>
        <w:ind w:left="1701" w:hanging="1701"/>
        <w:jc w:val="left"/>
        <w:rPr>
          <w:rFonts w:asciiTheme="minorHAnsi" w:hAnsiTheme="minorHAnsi" w:cstheme="minorHAnsi"/>
        </w:rPr>
      </w:pPr>
      <w:bookmarkStart w:id="7" w:name="_Toc86930106"/>
      <w:bookmarkStart w:id="8" w:name="_Toc92804321"/>
      <w:r w:rsidRPr="00A1797E">
        <w:rPr>
          <w:rFonts w:asciiTheme="minorHAnsi" w:hAnsiTheme="minorHAnsi" w:cstheme="minorHAnsi"/>
        </w:rPr>
        <w:t>For SSSG-switching, the switching timer can be configured per non-default SSSG.</w:t>
      </w:r>
      <w:bookmarkEnd w:id="7"/>
      <w:bookmarkEnd w:id="8"/>
      <w:r w:rsidRPr="00A1797E">
        <w:rPr>
          <w:rFonts w:asciiTheme="minorHAnsi" w:hAnsiTheme="minorHAnsi" w:cstheme="minorHAnsi"/>
        </w:rPr>
        <w:t xml:space="preserve"> </w:t>
      </w:r>
    </w:p>
    <w:p w14:paraId="56F9F727" w14:textId="4A922869" w:rsidR="00C33393" w:rsidRDefault="00C33393" w:rsidP="00FF2B41">
      <w:pPr>
        <w:rPr>
          <w:lang w:val="en-GB" w:eastAsia="ja-JP"/>
        </w:rPr>
      </w:pPr>
    </w:p>
    <w:p w14:paraId="75731C0C" w14:textId="56C5E2BF" w:rsidR="00B40268" w:rsidRDefault="000840D9" w:rsidP="00B40268">
      <w:pPr>
        <w:pStyle w:val="CommentText"/>
      </w:pPr>
      <w:r>
        <w:rPr>
          <w:lang w:val="en-GB" w:eastAsia="ja-JP"/>
        </w:rPr>
        <w:t xml:space="preserve">For Rel. 17, it is agreed that the UE can support either or both SSSG-switching and PDCCH-skipping. For the case of the UE is only capable of and only configured with SSSG-switching, </w:t>
      </w:r>
      <w:r w:rsidR="0074721F">
        <w:rPr>
          <w:lang w:val="en-GB" w:eastAsia="ja-JP"/>
        </w:rPr>
        <w:t>the option of ‘</w:t>
      </w:r>
      <w:r>
        <w:rPr>
          <w:lang w:val="en-GB" w:eastAsia="ja-JP"/>
        </w:rPr>
        <w:t>mimic PDCCH-skipping</w:t>
      </w:r>
      <w:r w:rsidR="0074721F">
        <w:rPr>
          <w:lang w:val="en-GB" w:eastAsia="ja-JP"/>
        </w:rPr>
        <w:t>’</w:t>
      </w:r>
      <w:r>
        <w:rPr>
          <w:lang w:val="en-GB" w:eastAsia="ja-JP"/>
        </w:rPr>
        <w:t>, i.e., through empty</w:t>
      </w:r>
      <w:r w:rsidR="003951A6">
        <w:rPr>
          <w:lang w:val="en-GB" w:eastAsia="ja-JP"/>
        </w:rPr>
        <w:t xml:space="preserve"> SSSG</w:t>
      </w:r>
      <w:r w:rsidR="0074721F">
        <w:rPr>
          <w:lang w:val="en-GB" w:eastAsia="ja-JP"/>
        </w:rPr>
        <w:t>, was discussed</w:t>
      </w:r>
      <w:r w:rsidR="003951A6">
        <w:rPr>
          <w:lang w:val="en-GB" w:eastAsia="ja-JP"/>
        </w:rPr>
        <w:t>.</w:t>
      </w:r>
      <w:r w:rsidR="005C15C3">
        <w:rPr>
          <w:lang w:val="en-GB" w:eastAsia="ja-JP"/>
        </w:rPr>
        <w:t xml:space="preserve"> </w:t>
      </w:r>
      <w:r w:rsidR="003951A6">
        <w:rPr>
          <w:lang w:val="en-GB" w:eastAsia="ja-JP"/>
        </w:rPr>
        <w:t xml:space="preserve">Straightforwardly, the empty SSSG can be obtained by having </w:t>
      </w:r>
      <w:r w:rsidR="0074721F">
        <w:rPr>
          <w:lang w:val="en-GB" w:eastAsia="ja-JP"/>
        </w:rPr>
        <w:t xml:space="preserve">only </w:t>
      </w:r>
      <w:r w:rsidR="003951A6">
        <w:rPr>
          <w:lang w:val="en-GB" w:eastAsia="ja-JP"/>
        </w:rPr>
        <w:t xml:space="preserve">one SS </w:t>
      </w:r>
      <w:r w:rsidR="0074721F">
        <w:rPr>
          <w:lang w:val="en-GB" w:eastAsia="ja-JP"/>
        </w:rPr>
        <w:t>in a SSSG</w:t>
      </w:r>
      <w:r w:rsidR="003951A6">
        <w:rPr>
          <w:lang w:val="en-GB" w:eastAsia="ja-JP"/>
        </w:rPr>
        <w:t>(e.g., configured as SSSG1) configured with zero blind decoding</w:t>
      </w:r>
      <w:r w:rsidR="00B40268">
        <w:rPr>
          <w:lang w:val="en-GB" w:eastAsia="ja-JP"/>
        </w:rPr>
        <w:t>, and this is simply sufficient</w:t>
      </w:r>
      <w:r w:rsidR="003951A6">
        <w:rPr>
          <w:lang w:val="en-GB" w:eastAsia="ja-JP"/>
        </w:rPr>
        <w:t xml:space="preserve">. </w:t>
      </w:r>
      <w:r w:rsidR="00B40268">
        <w:rPr>
          <w:lang w:val="en-GB" w:eastAsia="ja-JP"/>
        </w:rPr>
        <w:t xml:space="preserve">Alternatively, </w:t>
      </w:r>
      <w:r w:rsidR="00B40268">
        <w:t xml:space="preserve">the number of SSSGs is explicitly indicated by higher layers. If there is no SS associated with an SSSG, then that SSSG is empty. </w:t>
      </w:r>
    </w:p>
    <w:p w14:paraId="3CDDD66D" w14:textId="09B59336" w:rsidR="00066A44" w:rsidRDefault="00066A44" w:rsidP="00173155">
      <w:pPr>
        <w:rPr>
          <w:lang w:eastAsia="ja-JP"/>
        </w:rPr>
      </w:pPr>
      <w:r>
        <w:rPr>
          <w:lang w:eastAsia="ja-JP"/>
        </w:rPr>
        <w:t>Beside</w:t>
      </w:r>
      <w:r w:rsidR="00402404">
        <w:rPr>
          <w:lang w:eastAsia="ja-JP"/>
        </w:rPr>
        <w:t>s</w:t>
      </w:r>
      <w:r>
        <w:rPr>
          <w:lang w:eastAsia="ja-JP"/>
        </w:rPr>
        <w:t xml:space="preserve"> the implicit mechanism, determining the size of </w:t>
      </w:r>
      <w:r w:rsidR="006301AB">
        <w:rPr>
          <w:lang w:eastAsia="ja-JP"/>
        </w:rPr>
        <w:t xml:space="preserve">the </w:t>
      </w:r>
      <w:r>
        <w:rPr>
          <w:lang w:eastAsia="ja-JP"/>
        </w:rPr>
        <w:t xml:space="preserve">PDCCH monitoring adaptation bitfield can also be done via an explicit configuration in the higher layer. </w:t>
      </w:r>
      <w:r w:rsidR="001B30B7">
        <w:rPr>
          <w:lang w:eastAsia="ja-JP"/>
        </w:rPr>
        <w:t>This can be beneficial, in particular, if the switching timer</w:t>
      </w:r>
      <w:r w:rsidR="00275D6C">
        <w:rPr>
          <w:lang w:eastAsia="ja-JP"/>
        </w:rPr>
        <w:t>s</w:t>
      </w:r>
      <w:r w:rsidR="001B30B7">
        <w:rPr>
          <w:lang w:eastAsia="ja-JP"/>
        </w:rPr>
        <w:t xml:space="preserve"> for SSSG1 and SSSG2 are common.</w:t>
      </w:r>
      <w:r w:rsidR="00210EC4">
        <w:rPr>
          <w:lang w:eastAsia="ja-JP"/>
        </w:rPr>
        <w:t xml:space="preserve"> This is because in some cases,</w:t>
      </w:r>
      <w:r w:rsidR="00275D6C">
        <w:rPr>
          <w:lang w:eastAsia="ja-JP"/>
        </w:rPr>
        <w:t xml:space="preserve"> the UE may not have</w:t>
      </w:r>
      <w:r w:rsidR="003A3C8C">
        <w:rPr>
          <w:lang w:eastAsia="ja-JP"/>
        </w:rPr>
        <w:t xml:space="preserve"> an</w:t>
      </w:r>
      <w:r w:rsidR="00275D6C">
        <w:rPr>
          <w:lang w:eastAsia="ja-JP"/>
        </w:rPr>
        <w:t xml:space="preserve"> understanding </w:t>
      </w:r>
      <w:r w:rsidR="006301AB">
        <w:rPr>
          <w:lang w:eastAsia="ja-JP"/>
        </w:rPr>
        <w:t xml:space="preserve">of </w:t>
      </w:r>
      <w:r w:rsidR="00275D6C">
        <w:rPr>
          <w:lang w:eastAsia="ja-JP"/>
        </w:rPr>
        <w:t xml:space="preserve">whether </w:t>
      </w:r>
      <w:r w:rsidR="00210EC4">
        <w:rPr>
          <w:lang w:eastAsia="ja-JP"/>
        </w:rPr>
        <w:t xml:space="preserve">it is configured with </w:t>
      </w:r>
      <w:r w:rsidR="00275D6C">
        <w:rPr>
          <w:lang w:eastAsia="ja-JP"/>
        </w:rPr>
        <w:t>3 SSSG</w:t>
      </w:r>
      <w:r w:rsidR="00210EC4">
        <w:rPr>
          <w:lang w:eastAsia="ja-JP"/>
        </w:rPr>
        <w:t xml:space="preserve">s </w:t>
      </w:r>
      <w:r w:rsidR="00173155">
        <w:rPr>
          <w:lang w:eastAsia="ja-JP"/>
        </w:rPr>
        <w:t>or 2 SSSG</w:t>
      </w:r>
      <w:r w:rsidR="00210EC4">
        <w:rPr>
          <w:lang w:eastAsia="ja-JP"/>
        </w:rPr>
        <w:t>s</w:t>
      </w:r>
      <w:r w:rsidR="00275D6C">
        <w:rPr>
          <w:lang w:eastAsia="ja-JP"/>
        </w:rPr>
        <w:t xml:space="preserve">. </w:t>
      </w:r>
      <w:r w:rsidR="00173155">
        <w:rPr>
          <w:lang w:eastAsia="ja-JP"/>
        </w:rPr>
        <w:t xml:space="preserve">Thus, in one </w:t>
      </w:r>
      <w:r>
        <w:rPr>
          <w:lang w:eastAsia="ja-JP"/>
        </w:rPr>
        <w:t xml:space="preserve">example, the UE can be configured explicitly with the size of PDCCH monitoring adaptation bitfield </w:t>
      </w:r>
      <w:r w:rsidR="001B30B7">
        <w:rPr>
          <w:lang w:eastAsia="ja-JP"/>
        </w:rPr>
        <w:t>of 2</w:t>
      </w:r>
      <w:r w:rsidR="00275D6C">
        <w:rPr>
          <w:lang w:eastAsia="ja-JP"/>
        </w:rPr>
        <w:t xml:space="preserve"> bits. If there is no SS associated with SSSG2, it means that 3 SSSG</w:t>
      </w:r>
      <w:r w:rsidR="00210EC4">
        <w:rPr>
          <w:lang w:eastAsia="ja-JP"/>
        </w:rPr>
        <w:t>s are</w:t>
      </w:r>
      <w:r w:rsidR="00275D6C">
        <w:rPr>
          <w:lang w:eastAsia="ja-JP"/>
        </w:rPr>
        <w:t xml:space="preserve"> used </w:t>
      </w:r>
      <w:r w:rsidR="00210EC4">
        <w:rPr>
          <w:lang w:eastAsia="ja-JP"/>
        </w:rPr>
        <w:t>in which</w:t>
      </w:r>
      <w:r w:rsidR="00275D6C">
        <w:rPr>
          <w:lang w:eastAsia="ja-JP"/>
        </w:rPr>
        <w:t xml:space="preserve"> SSSG2 is empty. However, if there is no SS associated with SSSG2 but the PDCCH monitoring adaptation bitfield is configured with a size of 1, it means that 2 SSSG</w:t>
      </w:r>
      <w:r w:rsidR="00210EC4">
        <w:rPr>
          <w:lang w:eastAsia="ja-JP"/>
        </w:rPr>
        <w:t>s</w:t>
      </w:r>
      <w:r w:rsidR="00275D6C">
        <w:rPr>
          <w:lang w:eastAsia="ja-JP"/>
        </w:rPr>
        <w:t xml:space="preserve"> </w:t>
      </w:r>
      <w:r w:rsidR="00210EC4">
        <w:rPr>
          <w:lang w:eastAsia="ja-JP"/>
        </w:rPr>
        <w:t>are</w:t>
      </w:r>
      <w:r w:rsidR="00275D6C">
        <w:rPr>
          <w:lang w:eastAsia="ja-JP"/>
        </w:rPr>
        <w:t xml:space="preserve"> used.</w:t>
      </w:r>
    </w:p>
    <w:p w14:paraId="025321C8" w14:textId="67B0DF94" w:rsidR="00FD22BA" w:rsidRPr="00A1797E" w:rsidRDefault="00FD22BA" w:rsidP="00FD22BA">
      <w:pPr>
        <w:pStyle w:val="Proposal"/>
        <w:numPr>
          <w:ilvl w:val="0"/>
          <w:numId w:val="3"/>
        </w:numPr>
        <w:tabs>
          <w:tab w:val="clear" w:pos="1304"/>
        </w:tabs>
        <w:ind w:left="1701" w:hanging="1701"/>
        <w:jc w:val="left"/>
        <w:rPr>
          <w:rFonts w:asciiTheme="minorHAnsi" w:hAnsiTheme="minorHAnsi" w:cstheme="minorHAnsi"/>
        </w:rPr>
      </w:pPr>
      <w:bookmarkStart w:id="9" w:name="_Toc92804322"/>
      <w:r>
        <w:rPr>
          <w:rFonts w:asciiTheme="minorHAnsi" w:hAnsiTheme="minorHAnsi" w:cstheme="minorHAnsi"/>
        </w:rPr>
        <w:t xml:space="preserve">An </w:t>
      </w:r>
      <w:r w:rsidRPr="007F684D">
        <w:rPr>
          <w:rFonts w:asciiTheme="minorHAnsi" w:hAnsiTheme="minorHAnsi" w:cstheme="minorHAnsi"/>
        </w:rPr>
        <w:t>explicit configuration of the number of the configured SSSGs can be considered for SSSG-switching behavior</w:t>
      </w:r>
      <w:r w:rsidRPr="00A1797E">
        <w:rPr>
          <w:rFonts w:asciiTheme="minorHAnsi" w:hAnsiTheme="minorHAnsi" w:cstheme="minorHAnsi"/>
        </w:rPr>
        <w:t>.</w:t>
      </w:r>
      <w:bookmarkEnd w:id="9"/>
      <w:r w:rsidRPr="00A1797E">
        <w:rPr>
          <w:rFonts w:asciiTheme="minorHAnsi" w:hAnsiTheme="minorHAnsi" w:cstheme="minorHAnsi"/>
        </w:rPr>
        <w:t xml:space="preserve"> </w:t>
      </w:r>
    </w:p>
    <w:p w14:paraId="594FD4B1" w14:textId="77777777" w:rsidR="00AF7FB3" w:rsidRPr="00087F3B" w:rsidRDefault="00AF7FB3" w:rsidP="00FF2B41">
      <w:pPr>
        <w:rPr>
          <w:b/>
          <w:bCs/>
          <w:color w:val="C00000"/>
          <w:lang w:val="en-GB" w:eastAsia="ja-JP"/>
        </w:rPr>
      </w:pPr>
    </w:p>
    <w:p w14:paraId="1F52C811" w14:textId="22445504" w:rsidR="00193193" w:rsidRDefault="00193193">
      <w:pPr>
        <w:pStyle w:val="Heading3"/>
      </w:pPr>
      <w:r>
        <w:t>2.1.3</w:t>
      </w:r>
      <w:r>
        <w:tab/>
        <w:t>Multiple cells and multiple groups of cells handling</w:t>
      </w:r>
    </w:p>
    <w:p w14:paraId="67E82559" w14:textId="77777777" w:rsidR="00193193" w:rsidRPr="00E966C9" w:rsidRDefault="00193193" w:rsidP="00193193">
      <w:pPr>
        <w:rPr>
          <w:lang w:val="en-GB" w:eastAsia="ja-JP"/>
        </w:rPr>
      </w:pPr>
      <w:r w:rsidRPr="00E966C9">
        <w:rPr>
          <w:lang w:val="en-GB" w:eastAsia="ja-JP"/>
        </w:rPr>
        <w:t>In PDCCH monitoring adaptation, 2 types of indication for triggering the adaptation are possible -- self-indication and intercell indication. As in the agreement, the self-indication is supported through the scheduling DCI (e.g., DCI x_1 and x_2). These DCIs should already give enough flexibility so that each cell could do independent indication with negligible resource overhead.</w:t>
      </w:r>
    </w:p>
    <w:p w14:paraId="4FEDC789" w14:textId="3CAF9514" w:rsidR="00193193" w:rsidRDefault="00193193" w:rsidP="00193193">
      <w:pPr>
        <w:rPr>
          <w:lang w:val="en-GB" w:eastAsia="ja-JP"/>
        </w:rPr>
      </w:pPr>
      <w:r w:rsidRPr="00E966C9">
        <w:rPr>
          <w:lang w:val="en-GB" w:eastAsia="ja-JP"/>
        </w:rPr>
        <w:t xml:space="preserve">On top of that, it will also be beneficial to have an intercell indication. This type of indication is beneficial, e.g., when the UE is configured with FR1 and FR2, in particular as we may want the RF parts of FR2 to be turned off when it is not used. The FR1 part, on the other hand, may need to stay awake more frequently, e.g., to minimize the additional delay. Thus, it will be beneficial to allow </w:t>
      </w:r>
      <w:r w:rsidR="004253EE">
        <w:rPr>
          <w:lang w:val="en-GB" w:eastAsia="ja-JP"/>
        </w:rPr>
        <w:t>a cell</w:t>
      </w:r>
      <w:r w:rsidR="004253EE" w:rsidRPr="00E966C9">
        <w:rPr>
          <w:lang w:val="en-GB" w:eastAsia="ja-JP"/>
        </w:rPr>
        <w:t xml:space="preserve"> </w:t>
      </w:r>
      <w:r w:rsidRPr="00E966C9">
        <w:rPr>
          <w:lang w:val="en-GB" w:eastAsia="ja-JP"/>
        </w:rPr>
        <w:t>(e.g., a cell in FR1</w:t>
      </w:r>
      <w:r w:rsidR="004253EE">
        <w:rPr>
          <w:lang w:val="en-GB" w:eastAsia="ja-JP"/>
        </w:rPr>
        <w:t xml:space="preserve"> or PCell</w:t>
      </w:r>
      <w:r w:rsidRPr="00E966C9">
        <w:rPr>
          <w:lang w:val="en-GB" w:eastAsia="ja-JP"/>
        </w:rPr>
        <w:t xml:space="preserve">) to give an indication for other cells (or </w:t>
      </w:r>
      <w:r>
        <w:rPr>
          <w:lang w:val="en-GB" w:eastAsia="ja-JP"/>
        </w:rPr>
        <w:t>group of cells</w:t>
      </w:r>
      <w:r w:rsidRPr="00E966C9">
        <w:rPr>
          <w:lang w:val="en-GB" w:eastAsia="ja-JP"/>
        </w:rPr>
        <w:t>)</w:t>
      </w:r>
      <w:r>
        <w:rPr>
          <w:lang w:val="en-GB" w:eastAsia="ja-JP"/>
        </w:rPr>
        <w:t>, i.e., so that the FR2 part can be turned on and change</w:t>
      </w:r>
      <w:r w:rsidR="00480142">
        <w:rPr>
          <w:lang w:val="en-GB" w:eastAsia="ja-JP"/>
        </w:rPr>
        <w:t>d</w:t>
      </w:r>
      <w:r>
        <w:rPr>
          <w:lang w:val="en-GB" w:eastAsia="ja-JP"/>
        </w:rPr>
        <w:t xml:space="preserve"> to the dense monitoring faster even when the FR2 is currently using a very sparse PDCCH monitoring.</w:t>
      </w:r>
    </w:p>
    <w:p w14:paraId="700CA470" w14:textId="3BCBD0A5" w:rsidR="00193193" w:rsidRPr="00E966C9" w:rsidRDefault="00193193" w:rsidP="00193193">
      <w:pPr>
        <w:rPr>
          <w:lang w:val="en-GB" w:eastAsia="ja-JP"/>
        </w:rPr>
      </w:pPr>
      <w:r w:rsidRPr="004D30C8">
        <w:rPr>
          <w:lang w:val="en-GB" w:eastAsia="ja-JP"/>
        </w:rPr>
        <w:lastRenderedPageBreak/>
        <w:t xml:space="preserve">For this purpose, a similar framework with the SCell dormancy feature may be used, i.e., by using DCI 1-1 which is already designed to be monitored during the active time. </w:t>
      </w:r>
      <w:r w:rsidR="004253EE">
        <w:rPr>
          <w:lang w:val="en-GB" w:eastAsia="ja-JP"/>
        </w:rPr>
        <w:t>O</w:t>
      </w:r>
      <w:r>
        <w:rPr>
          <w:lang w:val="en-GB" w:eastAsia="ja-JP"/>
        </w:rPr>
        <w:t>ther options, e.g., extending DCI 2-6 for the active time should be avoided.</w:t>
      </w:r>
    </w:p>
    <w:p w14:paraId="340A9D4E" w14:textId="01AA6FD9" w:rsidR="004430BC" w:rsidRPr="00E966C9" w:rsidRDefault="004430BC" w:rsidP="00193193">
      <w:pPr>
        <w:rPr>
          <w:lang w:val="en-GB" w:eastAsia="ja-JP"/>
        </w:rPr>
      </w:pPr>
      <w:r>
        <w:rPr>
          <w:lang w:val="en-GB" w:eastAsia="ja-JP"/>
        </w:rPr>
        <w:t>As an example, the UE may be configured with an explicit higher layer parameter indicating t</w:t>
      </w:r>
      <w:r w:rsidR="002C69C2">
        <w:rPr>
          <w:lang w:val="en-GB" w:eastAsia="ja-JP"/>
        </w:rPr>
        <w:t>he</w:t>
      </w:r>
      <w:r>
        <w:rPr>
          <w:lang w:val="en-GB" w:eastAsia="ja-JP"/>
        </w:rPr>
        <w:t xml:space="preserve"> use </w:t>
      </w:r>
      <w:r w:rsidR="00EC75CE">
        <w:rPr>
          <w:lang w:val="en-GB" w:eastAsia="ja-JP"/>
        </w:rPr>
        <w:t xml:space="preserve">of </w:t>
      </w:r>
      <w:r>
        <w:rPr>
          <w:lang w:val="en-GB" w:eastAsia="ja-JP"/>
        </w:rPr>
        <w:t xml:space="preserve">the SCell dormancy framework/bitfield to enable intercell PDCCH monitoring adaptation. E.g., a parameter such as </w:t>
      </w:r>
      <w:r>
        <w:rPr>
          <w:i/>
          <w:iCs/>
          <w:lang w:val="en-GB" w:eastAsia="ja-JP"/>
        </w:rPr>
        <w:t>interCellPdcchMonitoringAdaptation</w:t>
      </w:r>
      <w:r>
        <w:rPr>
          <w:lang w:val="en-GB" w:eastAsia="ja-JP"/>
        </w:rPr>
        <w:t xml:space="preserve"> can be used with enumerated value of </w:t>
      </w:r>
      <w:r>
        <w:rPr>
          <w:i/>
          <w:iCs/>
          <w:lang w:val="en-GB" w:eastAsia="ja-JP"/>
        </w:rPr>
        <w:t>supported</w:t>
      </w:r>
      <w:r>
        <w:rPr>
          <w:lang w:val="en-GB" w:eastAsia="ja-JP"/>
        </w:rPr>
        <w:t xml:space="preserve">. This parameter, for example, can be configured if the parameter </w:t>
      </w:r>
      <w:r w:rsidRPr="007F684D">
        <w:rPr>
          <w:i/>
          <w:iCs/>
          <w:lang w:val="en-GB" w:eastAsia="ja-JP"/>
        </w:rPr>
        <w:t>scellDormancyWithinActiveTime-r16</w:t>
      </w:r>
      <w:r>
        <w:rPr>
          <w:lang w:val="en-GB" w:eastAsia="ja-JP"/>
        </w:rPr>
        <w:t xml:space="preserve"> is not configured.</w:t>
      </w:r>
    </w:p>
    <w:p w14:paraId="3AD098EA" w14:textId="035F6651" w:rsidR="005D0822" w:rsidRDefault="00C24197" w:rsidP="00EE7BB0">
      <w:pPr>
        <w:pStyle w:val="Proposal"/>
        <w:numPr>
          <w:ilvl w:val="0"/>
          <w:numId w:val="3"/>
        </w:numPr>
        <w:tabs>
          <w:tab w:val="clear" w:pos="1304"/>
        </w:tabs>
        <w:ind w:left="1701" w:hanging="1701"/>
        <w:jc w:val="left"/>
        <w:rPr>
          <w:lang w:val="en-GB" w:eastAsia="ja-JP"/>
        </w:rPr>
      </w:pPr>
      <w:bookmarkStart w:id="10" w:name="_Toc86930112"/>
      <w:bookmarkStart w:id="11" w:name="_Toc92804323"/>
      <w:r w:rsidRPr="00C24197">
        <w:rPr>
          <w:rFonts w:asciiTheme="minorHAnsi" w:hAnsiTheme="minorHAnsi" w:cstheme="minorHAnsi"/>
        </w:rPr>
        <w:t>Support intercell indication for PDCCH monitoring adaptation with DCI 1-1 for P(S)Cell, at least for the case like case 2 dormancy indication and using a new RNTI configured by higher layers</w:t>
      </w:r>
      <w:r w:rsidR="00193193" w:rsidRPr="00F41DA7">
        <w:rPr>
          <w:rFonts w:asciiTheme="minorHAnsi" w:hAnsiTheme="minorHAnsi" w:cstheme="minorHAnsi"/>
        </w:rPr>
        <w:t>.</w:t>
      </w:r>
      <w:bookmarkStart w:id="12" w:name="_Toc92803032"/>
      <w:bookmarkStart w:id="13" w:name="_Toc92803082"/>
      <w:bookmarkEnd w:id="10"/>
      <w:bookmarkEnd w:id="11"/>
      <w:bookmarkEnd w:id="12"/>
      <w:bookmarkEnd w:id="13"/>
    </w:p>
    <w:p w14:paraId="453AC2AF" w14:textId="5AE6AB0A" w:rsidR="00EA028D" w:rsidRDefault="009C4126" w:rsidP="00193193">
      <w:pPr>
        <w:rPr>
          <w:lang w:val="en-GB" w:eastAsia="ja-JP"/>
        </w:rPr>
      </w:pPr>
      <w:r>
        <w:rPr>
          <w:lang w:val="en-GB" w:eastAsia="ja-JP"/>
        </w:rPr>
        <w:t>I</w:t>
      </w:r>
      <w:r w:rsidR="00193193" w:rsidRPr="007F2B5C">
        <w:rPr>
          <w:lang w:val="en-GB" w:eastAsia="ja-JP"/>
        </w:rPr>
        <w:t xml:space="preserve">t is worth noting that the number of cells and groups of cell groups that can be configured for a UE </w:t>
      </w:r>
      <w:r w:rsidR="00193193">
        <w:rPr>
          <w:lang w:val="en-GB" w:eastAsia="ja-JP"/>
        </w:rPr>
        <w:t>is</w:t>
      </w:r>
      <w:r w:rsidR="00193193" w:rsidRPr="007F2B5C">
        <w:rPr>
          <w:lang w:val="en-GB" w:eastAsia="ja-JP"/>
        </w:rPr>
        <w:t xml:space="preserve"> 16 and 4, respectively. In addition, for a self-indication case, there are up to 4 possible PDCCH monitoring states (i.e., 4 codepoints) which need to be represented by 2 bits of indication, resulting in a large number of bits required for the intercell indication. </w:t>
      </w:r>
      <w:r>
        <w:rPr>
          <w:lang w:val="en-GB" w:eastAsia="ja-JP"/>
        </w:rPr>
        <w:t>In addition, the codepoint representation in each cell may be different, e.g., one cell may be configured with 3 skipping duration while the other cell is configured with 2 SSSGs.</w:t>
      </w:r>
      <w:r w:rsidR="00193193" w:rsidRPr="007F2B5C">
        <w:rPr>
          <w:lang w:val="en-GB" w:eastAsia="ja-JP"/>
        </w:rPr>
        <w:t xml:space="preserve"> </w:t>
      </w:r>
    </w:p>
    <w:p w14:paraId="05A424D5" w14:textId="7F99AACF" w:rsidR="00193193" w:rsidRDefault="00193193" w:rsidP="00193193">
      <w:pPr>
        <w:rPr>
          <w:lang w:val="en-GB" w:eastAsia="ja-JP"/>
        </w:rPr>
      </w:pPr>
      <w:r w:rsidRPr="007F2B5C">
        <w:rPr>
          <w:lang w:val="en-GB" w:eastAsia="ja-JP"/>
        </w:rPr>
        <w:t>Therefore, it will be beneficial if a certain limitation is introduced for intercell indication. For example, rather than supporting the indication for all codepoints, the intercell indication may only support a subset of possible codepoints, e.g., only the first 2 codepoints for each cell is supported. To give a better alignment of the codepoint interpretation and to give better configuration flexibility, the mentioned subset should be configurable in the NW.</w:t>
      </w:r>
    </w:p>
    <w:p w14:paraId="0525AA04" w14:textId="77777777" w:rsidR="00193193" w:rsidRPr="00F1744F" w:rsidRDefault="00193193" w:rsidP="00193193">
      <w:pPr>
        <w:rPr>
          <w:rFonts w:cstheme="minorHAnsi"/>
        </w:rPr>
      </w:pPr>
      <w:r>
        <w:rPr>
          <w:lang w:val="en-GB" w:eastAsia="ja-JP"/>
        </w:rPr>
        <w:t>Using the above method, as only two states are considered for intercell indication, t</w:t>
      </w:r>
      <w:r w:rsidRPr="007F2B5C">
        <w:rPr>
          <w:lang w:val="en-GB" w:eastAsia="ja-JP"/>
        </w:rPr>
        <w:t>he bitfield used for SCell dormancy indication can</w:t>
      </w:r>
      <w:r>
        <w:rPr>
          <w:lang w:val="en-GB" w:eastAsia="ja-JP"/>
        </w:rPr>
        <w:t>,</w:t>
      </w:r>
      <w:r w:rsidRPr="007F2B5C">
        <w:rPr>
          <w:lang w:val="en-GB" w:eastAsia="ja-JP"/>
        </w:rPr>
        <w:t xml:space="preserve"> in principle</w:t>
      </w:r>
      <w:r>
        <w:rPr>
          <w:lang w:val="en-GB" w:eastAsia="ja-JP"/>
        </w:rPr>
        <w:t>,</w:t>
      </w:r>
      <w:r w:rsidRPr="007F2B5C">
        <w:rPr>
          <w:lang w:val="en-GB" w:eastAsia="ja-JP"/>
        </w:rPr>
        <w:t xml:space="preserve"> be reused for PDCCH monitoring adaptation. I</w:t>
      </w:r>
      <w:r>
        <w:rPr>
          <w:lang w:val="en-GB" w:eastAsia="ja-JP"/>
        </w:rPr>
        <w:t>f configuring</w:t>
      </w:r>
      <w:r w:rsidRPr="007F2B5C">
        <w:rPr>
          <w:lang w:val="en-GB" w:eastAsia="ja-JP"/>
        </w:rPr>
        <w:t xml:space="preserve"> both features </w:t>
      </w:r>
      <w:r>
        <w:rPr>
          <w:lang w:val="en-GB" w:eastAsia="ja-JP"/>
        </w:rPr>
        <w:t>give notable benefits</w:t>
      </w:r>
      <w:r w:rsidRPr="007F2B5C">
        <w:rPr>
          <w:lang w:val="en-GB" w:eastAsia="ja-JP"/>
        </w:rPr>
        <w:t xml:space="preserve">, other mechanisms, e.g., scrambling with different RNTIs may be considered. </w:t>
      </w:r>
    </w:p>
    <w:p w14:paraId="10F81C7E" w14:textId="503CF342" w:rsidR="00193193" w:rsidRPr="00ED0531" w:rsidRDefault="00193193" w:rsidP="00193193">
      <w:pPr>
        <w:pStyle w:val="Proposal"/>
        <w:numPr>
          <w:ilvl w:val="0"/>
          <w:numId w:val="3"/>
        </w:numPr>
        <w:tabs>
          <w:tab w:val="clear" w:pos="1304"/>
        </w:tabs>
        <w:ind w:left="1701" w:hanging="1701"/>
        <w:jc w:val="left"/>
        <w:rPr>
          <w:rFonts w:asciiTheme="minorHAnsi" w:hAnsiTheme="minorHAnsi" w:cstheme="minorHAnsi"/>
        </w:rPr>
      </w:pPr>
      <w:bookmarkStart w:id="14" w:name="_Toc84000855"/>
      <w:bookmarkStart w:id="15" w:name="_Toc86930113"/>
      <w:bookmarkStart w:id="16" w:name="_Toc92804324"/>
      <w:bookmarkEnd w:id="14"/>
      <w:r w:rsidRPr="00ED0531">
        <w:rPr>
          <w:rFonts w:asciiTheme="minorHAnsi" w:hAnsiTheme="minorHAnsi" w:cstheme="minorHAnsi"/>
        </w:rPr>
        <w:t>For a cell for which PDCCH monitoring can be adapted, it should be possible to support different number of bits for same cell indication and intercell indication (e.g., 2-bits for indication on same cell and 1-bit for intercell indication from another cell).</w:t>
      </w:r>
      <w:bookmarkEnd w:id="15"/>
      <w:bookmarkEnd w:id="16"/>
    </w:p>
    <w:p w14:paraId="1969DABA" w14:textId="209EA201" w:rsidR="00193193" w:rsidRPr="00ED0531" w:rsidRDefault="00193193" w:rsidP="00193193">
      <w:pPr>
        <w:pStyle w:val="Proposal"/>
        <w:numPr>
          <w:ilvl w:val="0"/>
          <w:numId w:val="3"/>
        </w:numPr>
        <w:tabs>
          <w:tab w:val="clear" w:pos="1304"/>
        </w:tabs>
        <w:ind w:left="1701" w:hanging="1701"/>
        <w:jc w:val="left"/>
        <w:rPr>
          <w:rFonts w:asciiTheme="minorHAnsi" w:hAnsiTheme="minorHAnsi" w:cstheme="minorHAnsi"/>
        </w:rPr>
      </w:pPr>
      <w:bookmarkStart w:id="17" w:name="_Toc86930114"/>
      <w:bookmarkStart w:id="18" w:name="_Toc92804325"/>
      <w:r w:rsidRPr="00ED0531">
        <w:rPr>
          <w:rFonts w:asciiTheme="minorHAnsi" w:hAnsiTheme="minorHAnsi" w:cstheme="minorHAnsi"/>
        </w:rPr>
        <w:t>For a cell for which PDCCH monitoring can be adapted, it should be possible to independently configure same cell indication and intercell indication.</w:t>
      </w:r>
      <w:bookmarkEnd w:id="17"/>
      <w:bookmarkEnd w:id="18"/>
    </w:p>
    <w:p w14:paraId="327E3041" w14:textId="77777777" w:rsidR="00193193" w:rsidRPr="00193193" w:rsidRDefault="00193193" w:rsidP="00193193">
      <w:pPr>
        <w:rPr>
          <w:lang w:eastAsia="ja-JP"/>
        </w:rPr>
      </w:pPr>
    </w:p>
    <w:p w14:paraId="34284E55" w14:textId="7C67512F" w:rsidR="00CF397E" w:rsidRPr="00CF397E" w:rsidRDefault="00CF397E" w:rsidP="000A37D1">
      <w:pPr>
        <w:pStyle w:val="Heading2"/>
      </w:pPr>
      <w:r>
        <w:t>2.2</w:t>
      </w:r>
      <w:r>
        <w:tab/>
        <w:t>Adaptation indications</w:t>
      </w:r>
    </w:p>
    <w:p w14:paraId="05EDBF82" w14:textId="002B7CE9" w:rsidR="000A37D1" w:rsidRDefault="000A37D1" w:rsidP="000A37D1">
      <w:pPr>
        <w:pStyle w:val="Heading3"/>
      </w:pPr>
      <w:r>
        <w:t>2.2.1</w:t>
      </w:r>
      <w:r>
        <w:tab/>
        <w:t>Indication via scheduling DCI</w:t>
      </w:r>
    </w:p>
    <w:p w14:paraId="22A26506" w14:textId="0EF69769" w:rsidR="000A37D1" w:rsidRDefault="00A073A8" w:rsidP="000A37D1">
      <w:pPr>
        <w:rPr>
          <w:lang w:val="en-GB" w:eastAsia="ja-JP"/>
        </w:rPr>
      </w:pPr>
      <w:r>
        <w:rPr>
          <w:lang w:val="en-GB" w:eastAsia="ja-JP"/>
        </w:rPr>
        <w:t>In previous meetings, it was agreed that PDCCH monitoring adaptation indication through scheduling DCI is supported. The indication can be included in the UL scheduling DCI (i.e., DCI 0-1/0-2) and DL scheduling DCI (i.e., DCI 1-1/1-2). The characteristics of the adaptation when is indicated by DL and UL scheduling DCI can be different. For example, when the indication is transmitted through DL scheduling, the sign that the indication is successfully decode</w:t>
      </w:r>
      <w:r w:rsidR="00E73E3D">
        <w:rPr>
          <w:lang w:val="en-GB" w:eastAsia="ja-JP"/>
        </w:rPr>
        <w:t>d</w:t>
      </w:r>
      <w:r>
        <w:rPr>
          <w:lang w:val="en-GB" w:eastAsia="ja-JP"/>
        </w:rPr>
        <w:t xml:space="preserve"> by the UE may come from the HARQ/ACK transmission which in some cases has better reliability compared to PUSCH (which can be the sign of the successful adaptation indication via UL scheduling DCI). Therefore, it is possible that the NW intends to configure the indication in one of the DCI formats, e.g., only in the DL scheduling DCI</w:t>
      </w:r>
      <w:r w:rsidR="000A37D1">
        <w:rPr>
          <w:lang w:val="en-GB" w:eastAsia="ja-JP"/>
        </w:rPr>
        <w:t>.</w:t>
      </w:r>
    </w:p>
    <w:p w14:paraId="4B0A4EDA" w14:textId="721C5FBF" w:rsidR="000A37D1" w:rsidRDefault="000A37D1" w:rsidP="000A37D1">
      <w:pPr>
        <w:rPr>
          <w:lang w:val="en-GB" w:eastAsia="ja-JP"/>
        </w:rPr>
      </w:pPr>
      <w:r>
        <w:rPr>
          <w:lang w:val="en-GB" w:eastAsia="ja-JP"/>
        </w:rPr>
        <w:lastRenderedPageBreak/>
        <w:t>Considering the above, it will be beneficial if the NW can configure independently the indication bits, i.e., whether to configure the indication bits only in the DL scheduling DCI, UL scheduling DCI, or both DL and UL scheduling DCI.</w:t>
      </w:r>
      <w:r w:rsidR="00272563">
        <w:rPr>
          <w:lang w:val="en-GB" w:eastAsia="ja-JP"/>
        </w:rPr>
        <w:t xml:space="preserve"> Whether the existence of the PDCCH monitoring adaptation bitfield will be the same for the case of DCI x_1 and x_2 can be considered further.</w:t>
      </w:r>
    </w:p>
    <w:p w14:paraId="657FD975" w14:textId="24D392DF" w:rsidR="000A37D1" w:rsidRPr="00ED0531" w:rsidRDefault="00E21E37" w:rsidP="000A37D1">
      <w:pPr>
        <w:pStyle w:val="Proposal"/>
        <w:numPr>
          <w:ilvl w:val="0"/>
          <w:numId w:val="3"/>
        </w:numPr>
        <w:tabs>
          <w:tab w:val="clear" w:pos="1304"/>
        </w:tabs>
        <w:ind w:left="1701" w:hanging="1701"/>
        <w:jc w:val="left"/>
        <w:rPr>
          <w:rFonts w:asciiTheme="minorHAnsi" w:hAnsiTheme="minorHAnsi" w:cstheme="minorHAnsi"/>
        </w:rPr>
      </w:pPr>
      <w:bookmarkStart w:id="19" w:name="_Toc92804326"/>
      <w:r w:rsidRPr="00E21E37">
        <w:rPr>
          <w:rFonts w:asciiTheme="minorHAnsi" w:hAnsiTheme="minorHAnsi" w:cstheme="minorHAnsi"/>
        </w:rPr>
        <w:t>Higher layers can configure the PDCCH monitoring adaptation indication bits to be present only in the DL scheduling DCI, UL scheduling DCI, or both DL scheduling DCI and UL scheduling DCI</w:t>
      </w:r>
      <w:r w:rsidR="000A37D1">
        <w:rPr>
          <w:rFonts w:asciiTheme="minorHAnsi" w:hAnsiTheme="minorHAnsi" w:cstheme="minorHAnsi"/>
        </w:rPr>
        <w:t>.</w:t>
      </w:r>
      <w:bookmarkEnd w:id="19"/>
    </w:p>
    <w:p w14:paraId="2F9B34C0" w14:textId="77777777" w:rsidR="009A7995" w:rsidRPr="000061D0" w:rsidRDefault="009A7995" w:rsidP="000061D0">
      <w:pPr>
        <w:rPr>
          <w:b/>
          <w:bCs/>
          <w:lang w:val="en-GB" w:eastAsia="ja-JP"/>
        </w:rPr>
      </w:pPr>
    </w:p>
    <w:p w14:paraId="3D6C5F4A" w14:textId="05BC0897" w:rsidR="00EF63C5" w:rsidRPr="00F47B83" w:rsidRDefault="00EF63C5" w:rsidP="00EF63C5">
      <w:pPr>
        <w:rPr>
          <w:lang w:eastAsia="ja-JP"/>
        </w:rPr>
      </w:pPr>
      <w:r>
        <w:rPr>
          <w:lang w:eastAsia="ja-JP"/>
        </w:rPr>
        <w:t xml:space="preserve">Regarding the behavior corresponding to the code point 0 or 00 for case 1, it should simply be that the DCI does not indicate skipping in PDCCH monitoring. However, if UE had already received a previous/another DCI indicating skipping (Such cases can happen when, e.g., DL and UL DCIs are transmitted in different symbols, etc.), then the current DCI should be able to indicate ‘0’ or ‘00’ without overriding previous command. Therefore, we propose the following. </w:t>
      </w:r>
    </w:p>
    <w:p w14:paraId="58BAA6E7" w14:textId="4CF61B07" w:rsidR="00F47B83" w:rsidRPr="009A5543" w:rsidRDefault="00F47B83" w:rsidP="00EF63C5">
      <w:pPr>
        <w:pStyle w:val="Proposal"/>
        <w:numPr>
          <w:ilvl w:val="0"/>
          <w:numId w:val="3"/>
        </w:numPr>
        <w:tabs>
          <w:tab w:val="clear" w:pos="1304"/>
        </w:tabs>
        <w:ind w:left="1701" w:hanging="1701"/>
        <w:jc w:val="left"/>
        <w:rPr>
          <w:rFonts w:asciiTheme="minorHAnsi" w:hAnsiTheme="minorHAnsi" w:cstheme="minorHAnsi"/>
        </w:rPr>
      </w:pPr>
      <w:bookmarkStart w:id="20" w:name="_Toc92804327"/>
      <w:r w:rsidRPr="00F47B83">
        <w:rPr>
          <w:rFonts w:asciiTheme="minorHAnsi" w:hAnsiTheme="minorHAnsi" w:cstheme="minorHAnsi"/>
        </w:rPr>
        <w:t>For Beh 1, a '0' or ‘00’ value for the bit indicates no skipping indicated in the corresponding DCI for PDCCH monitoring</w:t>
      </w:r>
      <w:r>
        <w:rPr>
          <w:rFonts w:asciiTheme="minorHAnsi" w:hAnsiTheme="minorHAnsi" w:cstheme="minorHAnsi"/>
        </w:rPr>
        <w:t>.</w:t>
      </w:r>
      <w:bookmarkEnd w:id="20"/>
    </w:p>
    <w:p w14:paraId="34207276" w14:textId="77777777" w:rsidR="00C32ED6" w:rsidRDefault="00C32ED6" w:rsidP="004B45BE">
      <w:pPr>
        <w:rPr>
          <w:lang w:val="en-GB" w:eastAsia="ja-JP"/>
        </w:rPr>
      </w:pPr>
    </w:p>
    <w:p w14:paraId="47E36EA6" w14:textId="4C23EEFC" w:rsidR="00C32ED6" w:rsidRDefault="00C32ED6" w:rsidP="00EF63C5">
      <w:pPr>
        <w:rPr>
          <w:lang w:val="en-GB" w:eastAsia="ja-JP"/>
        </w:rPr>
      </w:pPr>
      <w:r>
        <w:rPr>
          <w:lang w:val="en-GB" w:eastAsia="ja-JP"/>
        </w:rPr>
        <w:t>Considering the above, the following is proposed to be adopted to the CR</w:t>
      </w:r>
      <w:r w:rsidR="0021047C">
        <w:rPr>
          <w:lang w:val="en-GB" w:eastAsia="ja-JP"/>
        </w:rPr>
        <w:t xml:space="preserve"> (the modification is written in red font).</w:t>
      </w:r>
      <w:r w:rsidR="00DA7879">
        <w:rPr>
          <w:lang w:val="en-GB" w:eastAsia="ja-JP"/>
        </w:rPr>
        <w:t xml:space="preserve"> Note that the below is only an example for 1 case (i.e., Case 1). The change should also </w:t>
      </w:r>
      <w:r w:rsidR="00010D1B">
        <w:rPr>
          <w:lang w:val="en-GB" w:eastAsia="ja-JP"/>
        </w:rPr>
        <w:t>be applied in the other cases.</w:t>
      </w:r>
    </w:p>
    <w:p w14:paraId="12B0AC86" w14:textId="598FA72F" w:rsidR="00C32ED6" w:rsidRPr="00EE7BB0" w:rsidRDefault="00C32ED6" w:rsidP="00EF63C5">
      <w:pPr>
        <w:rPr>
          <w:rFonts w:ascii="Times New Roman" w:hAnsi="Times New Roman" w:cs="Times New Roman"/>
          <w:i/>
          <w:iCs/>
          <w:lang w:val="en-GB" w:eastAsia="ja-JP"/>
        </w:rPr>
      </w:pPr>
      <w:r w:rsidRPr="00EE7BB0">
        <w:rPr>
          <w:rFonts w:ascii="Times New Roman" w:hAnsi="Times New Roman" w:cs="Times New Roman"/>
          <w:i/>
          <w:iCs/>
          <w:lang w:val="en-GB" w:eastAsia="ja-JP"/>
        </w:rPr>
        <w:t>&lt;text omitted&gt;</w:t>
      </w:r>
    </w:p>
    <w:p w14:paraId="75CDB5CF" w14:textId="77777777" w:rsidR="00C32ED6" w:rsidRPr="00C32ED6" w:rsidRDefault="00C32ED6" w:rsidP="00C32ED6">
      <w:pPr>
        <w:rPr>
          <w:rFonts w:ascii="Times New Roman" w:hAnsi="Times New Roman" w:cs="Times New Roman"/>
          <w:lang w:val="en-GB" w:eastAsia="ja-JP"/>
        </w:rPr>
      </w:pPr>
      <w:r w:rsidRPr="00C32ED6">
        <w:rPr>
          <w:rFonts w:ascii="Times New Roman" w:hAnsi="Times New Roman" w:cs="Times New Roman"/>
          <w:lang w:val="en-GB" w:eastAsia="ja-JP"/>
        </w:rPr>
        <w:t>If the field has 1 bit and for PDCCH monitoring according to Type3-PDCCH CSS sets or USS sets on the serving cell</w:t>
      </w:r>
    </w:p>
    <w:p w14:paraId="249C31D0" w14:textId="5CCD8BA9" w:rsidR="00C32ED6" w:rsidRDefault="00C32ED6" w:rsidP="00C32ED6">
      <w:pPr>
        <w:pStyle w:val="ListParagraph"/>
        <w:numPr>
          <w:ilvl w:val="0"/>
          <w:numId w:val="62"/>
        </w:numPr>
        <w:rPr>
          <w:rFonts w:ascii="Times New Roman" w:hAnsi="Times New Roman" w:cs="Times New Roman"/>
          <w:lang w:val="en-GB" w:eastAsia="ja-JP"/>
        </w:rPr>
      </w:pPr>
      <w:r w:rsidRPr="00EE7BB0">
        <w:rPr>
          <w:rFonts w:ascii="Times New Roman" w:hAnsi="Times New Roman" w:cs="Times New Roman"/>
          <w:lang w:val="en-GB" w:eastAsia="ja-JP"/>
        </w:rPr>
        <w:t xml:space="preserve">a '0' value for the bit indicates no skipping </w:t>
      </w:r>
      <w:r w:rsidR="0021047C" w:rsidRPr="00E87073">
        <w:rPr>
          <w:rFonts w:ascii="Times New Roman" w:hAnsi="Times New Roman" w:cs="Times New Roman"/>
          <w:color w:val="FF0000"/>
          <w:u w:val="single"/>
          <w:lang w:val="en-GB" w:eastAsia="ja-JP"/>
        </w:rPr>
        <w:t>indicated</w:t>
      </w:r>
      <w:r w:rsidR="0021047C">
        <w:rPr>
          <w:rFonts w:ascii="Times New Roman" w:hAnsi="Times New Roman" w:cs="Times New Roman"/>
          <w:color w:val="FF0000"/>
          <w:lang w:val="en-GB" w:eastAsia="ja-JP"/>
        </w:rPr>
        <w:t xml:space="preserve"> </w:t>
      </w:r>
      <w:r w:rsidRPr="00EE7BB0">
        <w:rPr>
          <w:rFonts w:ascii="Times New Roman" w:hAnsi="Times New Roman" w:cs="Times New Roman"/>
          <w:lang w:val="en-GB" w:eastAsia="ja-JP"/>
        </w:rPr>
        <w:t>in</w:t>
      </w:r>
      <w:r w:rsidR="00281F9D">
        <w:rPr>
          <w:rFonts w:ascii="Times New Roman" w:hAnsi="Times New Roman" w:cs="Times New Roman"/>
          <w:lang w:val="en-GB" w:eastAsia="ja-JP"/>
        </w:rPr>
        <w:t xml:space="preserve"> </w:t>
      </w:r>
      <w:r w:rsidR="00281F9D" w:rsidRPr="00E87073">
        <w:rPr>
          <w:rFonts w:ascii="Times New Roman" w:hAnsi="Times New Roman" w:cs="Times New Roman"/>
          <w:color w:val="FF0000"/>
          <w:u w:val="single"/>
          <w:lang w:val="en-GB" w:eastAsia="ja-JP"/>
        </w:rPr>
        <w:t>the corresponding DCI for</w:t>
      </w:r>
      <w:r w:rsidRPr="00EE7BB0">
        <w:rPr>
          <w:rFonts w:ascii="Times New Roman" w:hAnsi="Times New Roman" w:cs="Times New Roman"/>
          <w:lang w:val="en-GB" w:eastAsia="ja-JP"/>
        </w:rPr>
        <w:t xml:space="preserve"> PDCCH monitoring</w:t>
      </w:r>
    </w:p>
    <w:p w14:paraId="770D898B" w14:textId="384E082B" w:rsidR="00C32ED6" w:rsidRPr="00EE7BB0" w:rsidRDefault="00C32ED6" w:rsidP="00EE7BB0">
      <w:pPr>
        <w:pStyle w:val="ListParagraph"/>
        <w:numPr>
          <w:ilvl w:val="0"/>
          <w:numId w:val="62"/>
        </w:numPr>
        <w:rPr>
          <w:rFonts w:ascii="Times New Roman" w:hAnsi="Times New Roman" w:cs="Times New Roman"/>
          <w:lang w:val="en-GB" w:eastAsia="ja-JP"/>
        </w:rPr>
      </w:pPr>
      <w:r w:rsidRPr="00EE7BB0">
        <w:rPr>
          <w:rFonts w:ascii="Times New Roman" w:hAnsi="Times New Roman" w:cs="Times New Roman"/>
          <w:lang w:val="en-GB" w:eastAsia="ja-JP"/>
        </w:rPr>
        <w:t>a '1' value for the bit indicates skipping PDCCH monitoring for a duration provided by the first value in the set of durations</w:t>
      </w:r>
    </w:p>
    <w:p w14:paraId="1FD2DA31" w14:textId="38FF18C6" w:rsidR="00C32ED6" w:rsidRPr="00EE7BB0" w:rsidRDefault="00C32ED6" w:rsidP="00C32ED6">
      <w:pPr>
        <w:rPr>
          <w:rFonts w:ascii="Times New Roman" w:hAnsi="Times New Roman" w:cs="Times New Roman"/>
          <w:i/>
          <w:iCs/>
          <w:lang w:val="en-GB" w:eastAsia="ja-JP"/>
        </w:rPr>
      </w:pPr>
      <w:r w:rsidRPr="00EE7BB0">
        <w:rPr>
          <w:rFonts w:ascii="Times New Roman" w:hAnsi="Times New Roman" w:cs="Times New Roman"/>
          <w:i/>
          <w:iCs/>
          <w:lang w:val="en-GB" w:eastAsia="ja-JP"/>
        </w:rPr>
        <w:t>&lt;text omitted&gt;</w:t>
      </w:r>
    </w:p>
    <w:p w14:paraId="71A81B2C" w14:textId="77777777" w:rsidR="004B45BE" w:rsidRPr="004B45BE" w:rsidRDefault="004B45BE" w:rsidP="004B45BE">
      <w:pPr>
        <w:rPr>
          <w:lang w:eastAsia="ja-JP"/>
        </w:rPr>
      </w:pPr>
    </w:p>
    <w:p w14:paraId="78AC032D" w14:textId="69C7FC4D" w:rsidR="0098239A" w:rsidRDefault="0098239A">
      <w:pPr>
        <w:pStyle w:val="Heading3"/>
      </w:pPr>
      <w:r>
        <w:t>2.2.3</w:t>
      </w:r>
      <w:r>
        <w:tab/>
        <w:t>Switching timer</w:t>
      </w:r>
    </w:p>
    <w:p w14:paraId="5D8AB618" w14:textId="77777777" w:rsidR="00FC422C" w:rsidRDefault="00FC422C" w:rsidP="00FC422C">
      <w:pPr>
        <w:rPr>
          <w:lang w:val="en-GB" w:eastAsia="ja-JP"/>
        </w:rPr>
      </w:pPr>
      <w:r>
        <w:rPr>
          <w:lang w:val="en-GB" w:eastAsia="ja-JP"/>
        </w:rPr>
        <w:t xml:space="preserve">In Rel. 16 SSSG-switching feature, a switching timer is introduced. There, the switching timer starts and restarts each time the UE monitors PDCCH according to SSSG1. When the timer expires, the UE then switches back to SSSG0. A similar approach can be used for Rel. 17 PDCCH monitoring adaptation, i.e., the UE could (re)start a switching timer each time the UE monitors PDCCH according to the non-default SSSG (e.g., SSSG1 or SSSG2) and switch to SSSG0 when the switching timer expires. This approach is relatively simple and already brings a great advantage for the UE, i.e., the UE may return to monitor PDCCHs according to a sparser SSSG after some duration of using a denser SSSG. </w:t>
      </w:r>
    </w:p>
    <w:p w14:paraId="2D78AD1B" w14:textId="777AB00E" w:rsidR="00FC422C" w:rsidRDefault="00FC422C" w:rsidP="00FC422C">
      <w:pPr>
        <w:rPr>
          <w:lang w:val="en-GB" w:eastAsia="ja-JP"/>
        </w:rPr>
      </w:pPr>
      <w:r>
        <w:rPr>
          <w:lang w:val="en-GB" w:eastAsia="ja-JP"/>
        </w:rPr>
        <w:t xml:space="preserve">The timer can be reset each time UE receives a PDCCH with CRC scrambled by C-RNTI/CS-RNTI/MCS-C-RNTI (i.e., when it is receiving data), or the timer can be reset each time when UE receives a PDCCH in the non-default SSSG. While both these options would function well, from our perspective, it is simpler to allow the RNTI-based setting so that the NW can freely choose which SS can be used to schedule data to the UE (including the CSS sets and other SS sets that do not belong to any SSSGs) without worrying about timer and SS set associations. </w:t>
      </w:r>
    </w:p>
    <w:p w14:paraId="7CA5399A" w14:textId="43D569AF" w:rsidR="00E76B28" w:rsidRPr="00ED0531" w:rsidRDefault="00E76B28" w:rsidP="00E76B28">
      <w:pPr>
        <w:pStyle w:val="Proposal"/>
        <w:numPr>
          <w:ilvl w:val="0"/>
          <w:numId w:val="3"/>
        </w:numPr>
        <w:tabs>
          <w:tab w:val="clear" w:pos="1304"/>
        </w:tabs>
        <w:ind w:left="1701" w:hanging="1701"/>
        <w:jc w:val="left"/>
        <w:rPr>
          <w:rFonts w:asciiTheme="minorHAnsi" w:hAnsiTheme="minorHAnsi" w:cstheme="minorHAnsi"/>
        </w:rPr>
      </w:pPr>
      <w:bookmarkStart w:id="21" w:name="_Toc92804328"/>
      <w:r w:rsidRPr="00E76B28">
        <w:rPr>
          <w:rFonts w:asciiTheme="minorHAnsi" w:hAnsiTheme="minorHAnsi" w:cstheme="minorHAnsi"/>
        </w:rPr>
        <w:lastRenderedPageBreak/>
        <w:t>The SSSG timer is reset when UE receives a PDCCH with CRC scrambled by C-RNTI/CS-RNTI/MCS-C-RNTI</w:t>
      </w:r>
      <w:r w:rsidRPr="00ED0531">
        <w:rPr>
          <w:rFonts w:asciiTheme="minorHAnsi" w:hAnsiTheme="minorHAnsi" w:cstheme="minorHAnsi"/>
        </w:rPr>
        <w:t>.</w:t>
      </w:r>
      <w:bookmarkEnd w:id="21"/>
    </w:p>
    <w:p w14:paraId="382703E5" w14:textId="1585A099" w:rsidR="0098239A" w:rsidRPr="001C2CBA" w:rsidRDefault="0098239A" w:rsidP="00FC422C">
      <w:pPr>
        <w:rPr>
          <w:color w:val="C00000"/>
          <w:lang w:val="en-GB" w:eastAsia="ja-JP"/>
        </w:rPr>
      </w:pPr>
    </w:p>
    <w:p w14:paraId="426EDCA2" w14:textId="1A3C3CE7" w:rsidR="00F140F1" w:rsidRPr="00EE7BB0" w:rsidRDefault="00F140F1" w:rsidP="00FC422C">
      <w:pPr>
        <w:rPr>
          <w:lang w:val="en-GB" w:eastAsia="ja-JP"/>
        </w:rPr>
      </w:pPr>
      <w:r w:rsidRPr="00EE7BB0">
        <w:rPr>
          <w:lang w:val="en-GB" w:eastAsia="ja-JP"/>
        </w:rPr>
        <w:t xml:space="preserve">In </w:t>
      </w:r>
      <w:r w:rsidR="006E55A4">
        <w:rPr>
          <w:lang w:val="en-GB" w:eastAsia="ja-JP"/>
        </w:rPr>
        <w:t>a certain</w:t>
      </w:r>
      <w:r w:rsidR="0094108A">
        <w:rPr>
          <w:lang w:val="en-GB" w:eastAsia="ja-JP"/>
        </w:rPr>
        <w:t xml:space="preserve"> case, it is possible that the switching timer </w:t>
      </w:r>
      <w:r w:rsidR="00835DAD">
        <w:rPr>
          <w:lang w:val="en-GB" w:eastAsia="ja-JP"/>
        </w:rPr>
        <w:t>ends</w:t>
      </w:r>
      <w:r w:rsidR="006E55A4">
        <w:rPr>
          <w:lang w:val="en-GB" w:eastAsia="ja-JP"/>
        </w:rPr>
        <w:t xml:space="preserve"> before the skipping duration ends, i.e., the switching timer ends in the middle of the skipping duration.</w:t>
      </w:r>
      <w:r w:rsidR="00F2797F">
        <w:rPr>
          <w:lang w:val="en-GB" w:eastAsia="ja-JP"/>
        </w:rPr>
        <w:t xml:space="preserve"> Here, a simple approach can be taken, i.e., the UE may skip PDCCH monitoring until the skipping duration ends. </w:t>
      </w:r>
      <w:r w:rsidR="00436540">
        <w:rPr>
          <w:lang w:val="en-GB" w:eastAsia="ja-JP"/>
        </w:rPr>
        <w:t xml:space="preserve">One of the </w:t>
      </w:r>
      <w:r w:rsidR="00514C8B">
        <w:rPr>
          <w:lang w:val="en-GB" w:eastAsia="ja-JP"/>
        </w:rPr>
        <w:t>reasons</w:t>
      </w:r>
      <w:r w:rsidR="00436540">
        <w:rPr>
          <w:lang w:val="en-GB" w:eastAsia="ja-JP"/>
        </w:rPr>
        <w:t xml:space="preserve"> is </w:t>
      </w:r>
      <w:r w:rsidR="00FE4378">
        <w:rPr>
          <w:lang w:val="en-GB" w:eastAsia="ja-JP"/>
        </w:rPr>
        <w:t xml:space="preserve">that </w:t>
      </w:r>
      <w:r w:rsidR="00436540">
        <w:rPr>
          <w:lang w:val="en-GB" w:eastAsia="ja-JP"/>
        </w:rPr>
        <w:t>the skipping command is sent via a DCI, where the NW decision is based on a more present condition of the buffer. In addition, if required, the NW may configure the UE with a skipping duration smaller t</w:t>
      </w:r>
      <w:r w:rsidR="00514C8B">
        <w:rPr>
          <w:lang w:val="en-GB" w:eastAsia="ja-JP"/>
        </w:rPr>
        <w:t xml:space="preserve">han or equal to the switching timer. </w:t>
      </w:r>
      <w:r w:rsidR="00F2797F">
        <w:rPr>
          <w:lang w:val="en-GB" w:eastAsia="ja-JP"/>
        </w:rPr>
        <w:t>After the skipping duration ends, the UE then monitors the PDCCH according to SSSG0.</w:t>
      </w:r>
    </w:p>
    <w:p w14:paraId="4080BC6B" w14:textId="3BB367C8" w:rsidR="00E2029A" w:rsidRPr="00ED0531" w:rsidRDefault="0078464C" w:rsidP="00E2029A">
      <w:pPr>
        <w:pStyle w:val="Proposal"/>
        <w:numPr>
          <w:ilvl w:val="0"/>
          <w:numId w:val="3"/>
        </w:numPr>
        <w:tabs>
          <w:tab w:val="clear" w:pos="1304"/>
        </w:tabs>
        <w:ind w:left="1701" w:hanging="1701"/>
        <w:jc w:val="left"/>
        <w:rPr>
          <w:rFonts w:asciiTheme="minorHAnsi" w:hAnsiTheme="minorHAnsi" w:cstheme="minorHAnsi"/>
        </w:rPr>
      </w:pPr>
      <w:bookmarkStart w:id="22" w:name="_Toc92804329"/>
      <w:r>
        <w:rPr>
          <w:rFonts w:asciiTheme="minorHAnsi" w:hAnsiTheme="minorHAnsi" w:cstheme="minorHAnsi"/>
        </w:rPr>
        <w:t>If the SSSG-switching timer expires and the UE is still in the skipping duration, the UE finishes the skipping duration and monitors PDCCH according to SSSG0 when skipping duration ends</w:t>
      </w:r>
      <w:r w:rsidR="00E2029A" w:rsidRPr="00ED0531">
        <w:rPr>
          <w:rFonts w:asciiTheme="minorHAnsi" w:hAnsiTheme="minorHAnsi" w:cstheme="minorHAnsi"/>
        </w:rPr>
        <w:t>.</w:t>
      </w:r>
      <w:bookmarkEnd w:id="22"/>
    </w:p>
    <w:p w14:paraId="7859DEA3" w14:textId="77777777" w:rsidR="00793686" w:rsidRPr="00DE583A" w:rsidRDefault="00793686" w:rsidP="00FC422C">
      <w:pPr>
        <w:rPr>
          <w:lang w:val="en-GB" w:eastAsia="ja-JP"/>
        </w:rPr>
      </w:pPr>
    </w:p>
    <w:p w14:paraId="5A77D789" w14:textId="21E66E74" w:rsidR="000E0C7D" w:rsidRDefault="000E0C7D">
      <w:pPr>
        <w:pStyle w:val="Heading3"/>
      </w:pPr>
      <w:r>
        <w:t>2.2.</w:t>
      </w:r>
      <w:r w:rsidR="006526F5">
        <w:t>4</w:t>
      </w:r>
      <w:r>
        <w:tab/>
        <w:t>UL consideration</w:t>
      </w:r>
    </w:p>
    <w:p w14:paraId="5194744F" w14:textId="77777777" w:rsidR="000E0C7D" w:rsidRPr="001B6CE4" w:rsidRDefault="000E0C7D" w:rsidP="000E0C7D">
      <w:pPr>
        <w:rPr>
          <w:lang w:val="en-GB" w:eastAsia="ja-JP"/>
        </w:rPr>
      </w:pPr>
      <w:r w:rsidRPr="001B6CE4">
        <w:rPr>
          <w:lang w:val="en-GB" w:eastAsia="ja-JP"/>
        </w:rPr>
        <w:t xml:space="preserve">When a UE transmits an uplink scheduling request, it is possible that UE is still monitoring PDCCH sparsely. In this case, the UE will remain in sparse monitoring until it receives the UL grant DCI, and only after that, the UE could switch to the other SS-set group (i.e., the dense monitoring). This scenario might be unattractive as it might increase the latency of the UL transmission. </w:t>
      </w:r>
    </w:p>
    <w:p w14:paraId="473EE074" w14:textId="77777777" w:rsidR="000E0C7D" w:rsidRPr="001B6CE4" w:rsidRDefault="000E0C7D" w:rsidP="000E0C7D">
      <w:pPr>
        <w:rPr>
          <w:lang w:val="en-GB" w:eastAsia="ja-JP"/>
        </w:rPr>
      </w:pPr>
      <w:r w:rsidRPr="001B6CE4">
        <w:rPr>
          <w:lang w:val="en-GB" w:eastAsia="ja-JP"/>
        </w:rPr>
        <w:t>To overcome this issue, the UL request from the UE should be added as one of the indications which could trigger the SSSG-switching. Note, however, sparse monitoring can be either in SSSG0 or SSSG1. In addition, it is also possible that the UL request comes when the NW is on the dense monitoring. Thus, the SSSG to which the UE needs to switch or remain should be NW-configurable, e.g., in the RRC configuration.</w:t>
      </w:r>
    </w:p>
    <w:p w14:paraId="52358F3E" w14:textId="77777777" w:rsidR="000E0C7D" w:rsidRPr="001B6CE4" w:rsidRDefault="000E0C7D" w:rsidP="000E0C7D">
      <w:pPr>
        <w:rPr>
          <w:lang w:val="en-GB" w:eastAsia="ja-JP"/>
        </w:rPr>
      </w:pPr>
      <w:r w:rsidRPr="001B6CE4">
        <w:rPr>
          <w:lang w:val="en-GB" w:eastAsia="ja-JP"/>
        </w:rPr>
        <w:t>For the case of the UE is being inside a skipping duration, the uplink SR can be used as an implicit indication to terminate the skipping duration. When the UE is not configured with SSSG-switching behaviour, the UE can resume the normal PDCCH monitoring. When the UE is configured with SSSG-switching behaviour, the SSSG in which the UE monitors PDCCHs should be NW-configurable, e.g., in the RRC configuration.</w:t>
      </w:r>
    </w:p>
    <w:p w14:paraId="6BC513D7" w14:textId="4BF5F9A3" w:rsidR="000E0C7D" w:rsidRPr="00ED0531" w:rsidRDefault="000E0C7D" w:rsidP="000E0C7D">
      <w:pPr>
        <w:pStyle w:val="Proposal"/>
        <w:numPr>
          <w:ilvl w:val="0"/>
          <w:numId w:val="3"/>
        </w:numPr>
        <w:tabs>
          <w:tab w:val="clear" w:pos="1304"/>
        </w:tabs>
        <w:ind w:left="1701" w:hanging="1701"/>
        <w:jc w:val="left"/>
        <w:rPr>
          <w:rFonts w:asciiTheme="minorHAnsi" w:hAnsiTheme="minorHAnsi" w:cstheme="minorHAnsi"/>
        </w:rPr>
      </w:pPr>
      <w:bookmarkStart w:id="23" w:name="_Toc71665283"/>
      <w:bookmarkStart w:id="24" w:name="_Toc78814448"/>
      <w:bookmarkStart w:id="25" w:name="_Toc86930117"/>
      <w:bookmarkStart w:id="26" w:name="_Toc92804330"/>
      <w:r w:rsidRPr="00ED0531">
        <w:rPr>
          <w:rFonts w:asciiTheme="minorHAnsi" w:hAnsiTheme="minorHAnsi" w:cstheme="minorHAnsi"/>
        </w:rPr>
        <w:t>UL scheduling request can be used as an implicit indication for PDCCH monitoring adaptation (to end the skipping or to switch to an SSSG). The SSSG (if configured) that UE monitors</w:t>
      </w:r>
      <w:r w:rsidRPr="00ED0531" w:rsidDel="002E0698">
        <w:rPr>
          <w:rFonts w:asciiTheme="minorHAnsi" w:hAnsiTheme="minorHAnsi" w:cstheme="minorHAnsi"/>
        </w:rPr>
        <w:t xml:space="preserve"> </w:t>
      </w:r>
      <w:r w:rsidRPr="00ED0531">
        <w:rPr>
          <w:rFonts w:asciiTheme="minorHAnsi" w:hAnsiTheme="minorHAnsi" w:cstheme="minorHAnsi"/>
        </w:rPr>
        <w:t>after transmitting an UL scheduling request is configurable by NW</w:t>
      </w:r>
      <w:bookmarkEnd w:id="23"/>
      <w:bookmarkEnd w:id="24"/>
      <w:r w:rsidRPr="00ED0531">
        <w:rPr>
          <w:rFonts w:asciiTheme="minorHAnsi" w:hAnsiTheme="minorHAnsi" w:cstheme="minorHAnsi"/>
        </w:rPr>
        <w:t>.</w:t>
      </w:r>
      <w:bookmarkEnd w:id="25"/>
      <w:bookmarkEnd w:id="26"/>
    </w:p>
    <w:p w14:paraId="5EB2826B" w14:textId="77777777" w:rsidR="000E0C7D" w:rsidRPr="000E0C7D" w:rsidRDefault="000E0C7D" w:rsidP="000E0C7D">
      <w:pPr>
        <w:rPr>
          <w:lang w:eastAsia="ja-JP"/>
        </w:rPr>
      </w:pPr>
    </w:p>
    <w:p w14:paraId="2FD397F9" w14:textId="3D4C674F" w:rsidR="00174B8D" w:rsidRDefault="00174B8D" w:rsidP="006526F5">
      <w:pPr>
        <w:pStyle w:val="Heading3"/>
      </w:pPr>
      <w:r>
        <w:t>2.2.</w:t>
      </w:r>
      <w:r w:rsidR="006526F5">
        <w:t>5</w:t>
      </w:r>
      <w:r>
        <w:tab/>
        <w:t>Relation with CDRX functionality</w:t>
      </w:r>
    </w:p>
    <w:p w14:paraId="02C6A376" w14:textId="77777777" w:rsidR="00174B8D" w:rsidRPr="00CF16E7" w:rsidRDefault="00174B8D" w:rsidP="00174B8D">
      <w:pPr>
        <w:rPr>
          <w:lang w:val="en-GB" w:eastAsia="ja-JP"/>
        </w:rPr>
      </w:pPr>
      <w:r w:rsidRPr="00CF16E7">
        <w:rPr>
          <w:lang w:val="en-GB" w:eastAsia="ja-JP"/>
        </w:rPr>
        <w:t>In SSSG-switching, the power-saving is achieved by setting the SSSG0 and SSSG1 with different periodicities. When the data burst comes, the NW will command the UE to monitor PDCCH with the dense SSSG and when the data burst ends, the NW will command the UE to switch to the sparse SSSG. This will be very beneficial during the IAT. This is because the NW only needs to wait for a maximum of one SS period of sparse monitoring before being able to send PDCCH. However, it is preferable if UE can switch to dense monitoring when monitoring PDCCH at the next On-duration, because the UE will otherwise monitor PDCCH sparsely even during On-duration, which would be undesirable, due to the smaller number of opportunities for addressing the UE. If the NW misses the chance to send the PDCCH during this period, the NW will need to wait for one DRX cycle before the next scheduling opportunity comes.</w:t>
      </w:r>
    </w:p>
    <w:p w14:paraId="19799141" w14:textId="77777777" w:rsidR="00174B8D" w:rsidRPr="00B81B2C" w:rsidRDefault="00174B8D" w:rsidP="00174B8D">
      <w:pPr>
        <w:pStyle w:val="Proposal"/>
        <w:numPr>
          <w:ilvl w:val="0"/>
          <w:numId w:val="0"/>
        </w:numPr>
        <w:rPr>
          <w:rFonts w:asciiTheme="minorHAnsi" w:hAnsiTheme="minorHAnsi" w:cstheme="minorHAnsi"/>
          <w:color w:val="A6A6A6" w:themeColor="background1" w:themeShade="A6"/>
        </w:rPr>
      </w:pPr>
    </w:p>
    <w:p w14:paraId="67C6249C" w14:textId="77777777" w:rsidR="00174B8D" w:rsidRPr="00B81B2C" w:rsidRDefault="00174B8D" w:rsidP="00174B8D">
      <w:pPr>
        <w:jc w:val="center"/>
        <w:rPr>
          <w:color w:val="A6A6A6" w:themeColor="background1" w:themeShade="A6"/>
          <w:lang w:val="en-GB" w:eastAsia="ja-JP"/>
        </w:rPr>
      </w:pPr>
      <w:r w:rsidRPr="00B81B2C">
        <w:rPr>
          <w:noProof/>
          <w:color w:val="A6A6A6" w:themeColor="background1" w:themeShade="A6"/>
          <w:lang w:val="en-GB" w:eastAsia="ja-JP"/>
        </w:rPr>
        <w:lastRenderedPageBreak/>
        <w:drawing>
          <wp:inline distT="0" distB="0" distL="0" distR="0" wp14:anchorId="4629772E" wp14:editId="3FCE05FD">
            <wp:extent cx="4680000" cy="1668326"/>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0000" cy="1668326"/>
                    </a:xfrm>
                    <a:prstGeom prst="rect">
                      <a:avLst/>
                    </a:prstGeom>
                    <a:noFill/>
                  </pic:spPr>
                </pic:pic>
              </a:graphicData>
            </a:graphic>
          </wp:inline>
        </w:drawing>
      </w:r>
    </w:p>
    <w:p w14:paraId="377755C8" w14:textId="77777777" w:rsidR="00174B8D" w:rsidRPr="00CF16E7" w:rsidRDefault="00174B8D" w:rsidP="00174B8D">
      <w:pPr>
        <w:jc w:val="center"/>
        <w:rPr>
          <w:lang w:val="en-GB" w:eastAsia="ja-JP"/>
        </w:rPr>
      </w:pPr>
      <w:r w:rsidRPr="00CF16E7">
        <w:rPr>
          <w:lang w:val="en-GB" w:eastAsia="ja-JP"/>
        </w:rPr>
        <w:t>Figure 5. SSSG monitoring during DRX on-duration. Monitoring PDCCH in sparse SSs may increase the delay significantly.</w:t>
      </w:r>
    </w:p>
    <w:p w14:paraId="78229CB7" w14:textId="77777777" w:rsidR="00174B8D" w:rsidRPr="00B81B2C" w:rsidRDefault="00174B8D" w:rsidP="00174B8D">
      <w:pPr>
        <w:rPr>
          <w:color w:val="A6A6A6" w:themeColor="background1" w:themeShade="A6"/>
          <w:lang w:val="en-GB" w:eastAsia="ja-JP"/>
        </w:rPr>
      </w:pPr>
    </w:p>
    <w:p w14:paraId="62E3081F" w14:textId="77777777" w:rsidR="00174B8D" w:rsidRPr="00CF16E7" w:rsidRDefault="00174B8D" w:rsidP="00174B8D">
      <w:pPr>
        <w:rPr>
          <w:lang w:val="en-GB" w:eastAsia="ja-JP"/>
        </w:rPr>
      </w:pPr>
      <w:r w:rsidRPr="00CF16E7">
        <w:rPr>
          <w:lang w:val="en-GB" w:eastAsia="ja-JP"/>
        </w:rPr>
        <w:t>Considering the above, the relation between SSSG-switching and the DRX needs to be clarified. To guarantee that the UE will start monitoring using dense SSSG during the DRX on-duration, it will be beneficial if the SS-set group that needs to be assumed at beginning of On-duration can be configurable to the NW.</w:t>
      </w:r>
    </w:p>
    <w:p w14:paraId="3ABB7FFA" w14:textId="0CF1E232" w:rsidR="00174B8D" w:rsidRPr="00ED0531" w:rsidRDefault="00174B8D" w:rsidP="00174B8D">
      <w:pPr>
        <w:pStyle w:val="Proposal"/>
        <w:numPr>
          <w:ilvl w:val="0"/>
          <w:numId w:val="3"/>
        </w:numPr>
        <w:tabs>
          <w:tab w:val="clear" w:pos="1304"/>
        </w:tabs>
        <w:ind w:left="1701" w:hanging="1701"/>
        <w:rPr>
          <w:rFonts w:asciiTheme="minorHAnsi" w:hAnsiTheme="minorHAnsi" w:cstheme="minorHAnsi"/>
        </w:rPr>
      </w:pPr>
      <w:bookmarkStart w:id="27" w:name="_Toc71665282"/>
      <w:bookmarkStart w:id="28" w:name="_Toc78814447"/>
      <w:bookmarkStart w:id="29" w:name="_Toc86930118"/>
      <w:bookmarkStart w:id="30" w:name="_Toc92804331"/>
      <w:r w:rsidRPr="00ED0531">
        <w:rPr>
          <w:rFonts w:asciiTheme="minorHAnsi" w:hAnsiTheme="minorHAnsi" w:cstheme="minorHAnsi"/>
        </w:rPr>
        <w:t>For UE configured with DRX, higher layer signaling can configure SSSG that a UE monitors when coming out of DRX to monitor an ON duration.</w:t>
      </w:r>
      <w:bookmarkEnd w:id="27"/>
      <w:bookmarkEnd w:id="28"/>
      <w:bookmarkEnd w:id="29"/>
      <w:bookmarkEnd w:id="30"/>
    </w:p>
    <w:p w14:paraId="6BE265D7" w14:textId="77777777" w:rsidR="008D717A" w:rsidRPr="00174B8D" w:rsidRDefault="008D717A" w:rsidP="00174B8D">
      <w:pPr>
        <w:rPr>
          <w:lang w:eastAsia="ja-JP"/>
        </w:rPr>
      </w:pPr>
    </w:p>
    <w:p w14:paraId="31EBE931" w14:textId="5995E6AA" w:rsidR="005423B0" w:rsidRPr="006502DC" w:rsidRDefault="00787E16" w:rsidP="006502DC">
      <w:pPr>
        <w:pStyle w:val="Heading2"/>
      </w:pPr>
      <w:r>
        <w:t>2.3</w:t>
      </w:r>
      <w:r>
        <w:tab/>
        <w:t>Application delay</w:t>
      </w:r>
    </w:p>
    <w:p w14:paraId="71E4B219" w14:textId="77777777" w:rsidR="0025466E" w:rsidRPr="00C226D6" w:rsidRDefault="0025466E" w:rsidP="0025466E">
      <w:pPr>
        <w:pStyle w:val="Heading3"/>
      </w:pPr>
      <w:r w:rsidRPr="00C226D6">
        <w:t>2.3.1</w:t>
      </w:r>
      <w:r w:rsidRPr="00C226D6">
        <w:tab/>
        <w:t>Application delay for SSSG-switching</w:t>
      </w:r>
    </w:p>
    <w:p w14:paraId="6D9168D5" w14:textId="77777777" w:rsidR="0025466E" w:rsidRPr="00C226D6" w:rsidRDefault="0025466E" w:rsidP="006A57D2">
      <w:pPr>
        <w:pStyle w:val="Heading4"/>
        <w:ind w:left="1134" w:hanging="1134"/>
      </w:pPr>
      <w:r w:rsidRPr="00C226D6">
        <w:t>2.3.1.1</w:t>
      </w:r>
      <w:r w:rsidRPr="00C226D6">
        <w:tab/>
      </w:r>
      <w:r>
        <w:t>Minimum application delay</w:t>
      </w:r>
    </w:p>
    <w:p w14:paraId="7E6FA80A" w14:textId="77777777" w:rsidR="0025466E" w:rsidRPr="00920A37" w:rsidRDefault="0025466E" w:rsidP="0025466E">
      <w:pPr>
        <w:rPr>
          <w:lang w:val="en-GB" w:eastAsia="ja-JP"/>
        </w:rPr>
      </w:pPr>
      <w:r w:rsidRPr="00920A37">
        <w:rPr>
          <w:lang w:val="en-GB" w:eastAsia="ja-JP"/>
        </w:rPr>
        <w:t>The alignment between the NW and the UE in terms of the SSSG used to monitor PDCCH in one instance is important, e.g., to avoid the case of the NW transmits PDCCH according to one SSSG while the UE is still monitoring PDCCH according to another SSSG.</w:t>
      </w:r>
    </w:p>
    <w:p w14:paraId="1C8E80CB" w14:textId="77777777" w:rsidR="0025466E" w:rsidRPr="008B75E7" w:rsidRDefault="0025466E" w:rsidP="0025466E">
      <w:pPr>
        <w:rPr>
          <w:lang w:val="en-GB" w:eastAsia="ja-JP"/>
        </w:rPr>
      </w:pPr>
      <w:r w:rsidRPr="008B75E7">
        <w:rPr>
          <w:lang w:val="en-GB" w:eastAsia="ja-JP"/>
        </w:rPr>
        <w:t>In SSSG-switching, having the adaptation applied after the UE successfully decodes the PDSCH scheduled by the PDCCH that contains the adaptation indication is preferable. Note, however, besides explicit indication via scheduling DCI, the transition between SSSGs can also be triggered by other indications, e.g., the end of the switching timer and explicit indication via non-scheduling DCI. In addition, it is also possible that the rule for the application delay can be different between each state transition. For example, a certain state transition (e.g., from SSSG0 to SSSG1) does not require to consider ACK while another state transition (e.g., from SSSG1 to SSSG0) requires ACK). Considering this, a baseline application delay needs to be agreed upon.</w:t>
      </w:r>
    </w:p>
    <w:p w14:paraId="21EFBAA6" w14:textId="77777777" w:rsidR="0025466E" w:rsidRPr="002B7242" w:rsidRDefault="0025466E" w:rsidP="0025466E">
      <w:pPr>
        <w:rPr>
          <w:lang w:val="en-GB" w:eastAsia="ja-JP"/>
        </w:rPr>
      </w:pPr>
      <w:r w:rsidRPr="002B7242">
        <w:rPr>
          <w:lang w:val="en-GB" w:eastAsia="ja-JP"/>
        </w:rPr>
        <w:t xml:space="preserve">In Rel. 16 SSSG-switching feature, the </w:t>
      </w:r>
      <w:r>
        <w:rPr>
          <w:lang w:val="en-GB" w:eastAsia="ja-JP"/>
        </w:rPr>
        <w:t>minimum</w:t>
      </w:r>
      <w:r w:rsidRPr="002B7242">
        <w:rPr>
          <w:lang w:val="en-GB" w:eastAsia="ja-JP"/>
        </w:rPr>
        <w:t xml:space="preserve"> time for the application delay is standardized in TS 38.213 Section 10.4. The values are as follows:</w:t>
      </w:r>
    </w:p>
    <w:p w14:paraId="04D8300D" w14:textId="77777777" w:rsidR="0025466E" w:rsidRPr="00CB61B6" w:rsidRDefault="0025466E" w:rsidP="0025466E">
      <w:pPr>
        <w:pStyle w:val="TH"/>
        <w:rPr>
          <w:rFonts w:asciiTheme="minorHAnsi" w:hAnsiTheme="minorHAnsi" w:cstheme="minorHAnsi"/>
        </w:rPr>
      </w:pPr>
      <w:r w:rsidRPr="00CB61B6">
        <w:rPr>
          <w:rFonts w:asciiTheme="minorHAnsi" w:hAnsiTheme="minorHAnsi" w:cstheme="minorHAnsi"/>
        </w:rPr>
        <w:lastRenderedPageBreak/>
        <w:t xml:space="preserve">Table 1: Minimum value of </w:t>
      </w:r>
      <m:oMath>
        <m:sSub>
          <m:sSubPr>
            <m:ctrlPr>
              <w:rPr>
                <w:rFonts w:ascii="Cambria Math" w:hAnsi="Cambria Math" w:cstheme="minorHAnsi"/>
                <w:i/>
              </w:rPr>
            </m:ctrlPr>
          </m:sSubPr>
          <m:e>
            <m:r>
              <m:rPr>
                <m:sty m:val="bi"/>
              </m:rPr>
              <w:rPr>
                <w:rFonts w:ascii="Cambria Math" w:hAnsi="Cambria Math" w:cstheme="minorHAnsi"/>
              </w:rPr>
              <m:t>P</m:t>
            </m:r>
          </m:e>
          <m:sub>
            <m:r>
              <m:rPr>
                <m:sty m:val="bi"/>
              </m:rPr>
              <w:rPr>
                <w:rFonts w:ascii="Cambria Math" w:hAnsi="Cambria Math" w:cstheme="minorHAnsi"/>
              </w:rPr>
              <m:t>switch</m:t>
            </m:r>
          </m:sub>
        </m:sSub>
      </m:oMath>
      <w:r w:rsidRPr="00CB61B6">
        <w:rPr>
          <w:rFonts w:asciiTheme="minorHAnsi" w:hAnsiTheme="minorHAnsi" w:cstheme="minorHAnsi"/>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25466E" w:rsidRPr="00CB61B6" w14:paraId="293CAE6B" w14:textId="77777777" w:rsidTr="00F5043B">
        <w:trPr>
          <w:cantSplit/>
          <w:jc w:val="center"/>
        </w:trPr>
        <w:tc>
          <w:tcPr>
            <w:tcW w:w="300" w:type="dxa"/>
            <w:shd w:val="clear" w:color="auto" w:fill="E0E0E0"/>
            <w:vAlign w:val="center"/>
          </w:tcPr>
          <w:p w14:paraId="74B8099C" w14:textId="77777777" w:rsidR="0025466E" w:rsidRPr="00CB61B6" w:rsidRDefault="0025466E" w:rsidP="00F5043B">
            <w:pPr>
              <w:pStyle w:val="TAH"/>
              <w:rPr>
                <w:rFonts w:asciiTheme="minorHAnsi" w:hAnsiTheme="minorHAnsi" w:cstheme="minorHAnsi"/>
                <w:sz w:val="20"/>
              </w:rPr>
            </w:pPr>
            <m:oMathPara>
              <m:oMath>
                <m:r>
                  <m:rPr>
                    <m:sty m:val="bi"/>
                  </m:rPr>
                  <w:rPr>
                    <w:rFonts w:ascii="Cambria Math" w:hAnsi="Cambria Math" w:cstheme="minorHAnsi"/>
                  </w:rPr>
                  <m:t>μ</m:t>
                </m:r>
              </m:oMath>
            </m:oMathPara>
          </w:p>
        </w:tc>
        <w:tc>
          <w:tcPr>
            <w:tcW w:w="3385" w:type="dxa"/>
            <w:shd w:val="clear" w:color="auto" w:fill="E0E0E0"/>
            <w:vAlign w:val="center"/>
          </w:tcPr>
          <w:p w14:paraId="535589ED" w14:textId="77777777" w:rsidR="0025466E" w:rsidRPr="00CB61B6" w:rsidRDefault="0025466E" w:rsidP="00F5043B">
            <w:pPr>
              <w:pStyle w:val="TAH"/>
              <w:rPr>
                <w:rFonts w:asciiTheme="minorHAnsi" w:hAnsiTheme="minorHAnsi" w:cstheme="minorHAnsi"/>
                <w:szCs w:val="18"/>
              </w:rPr>
            </w:pPr>
            <w:r w:rsidRPr="00CB61B6">
              <w:rPr>
                <w:rFonts w:asciiTheme="minorHAnsi" w:hAnsiTheme="minorHAnsi" w:cstheme="minorHAnsi"/>
                <w:szCs w:val="18"/>
              </w:rPr>
              <w:t xml:space="preserve">Minimum </w:t>
            </w:r>
            <m:oMath>
              <m:sSub>
                <m:sSubPr>
                  <m:ctrlPr>
                    <w:rPr>
                      <w:rFonts w:ascii="Cambria Math" w:hAnsi="Cambria Math" w:cstheme="minorHAnsi"/>
                      <w:szCs w:val="18"/>
                    </w:rPr>
                  </m:ctrlPr>
                </m:sSubPr>
                <m:e>
                  <m:r>
                    <m:rPr>
                      <m:sty m:val="b"/>
                    </m:rPr>
                    <w:rPr>
                      <w:rFonts w:ascii="Cambria Math" w:hAnsi="Cambria Math" w:cstheme="minorHAnsi"/>
                      <w:szCs w:val="18"/>
                    </w:rPr>
                    <m:t>P</m:t>
                  </m:r>
                </m:e>
                <m:sub>
                  <m:r>
                    <m:rPr>
                      <m:sty m:val="b"/>
                    </m:rPr>
                    <w:rPr>
                      <w:rFonts w:ascii="Cambria Math" w:hAnsi="Cambria Math" w:cstheme="minorHAnsi"/>
                      <w:szCs w:val="18"/>
                    </w:rPr>
                    <m:t>switch</m:t>
                  </m:r>
                </m:sub>
              </m:sSub>
            </m:oMath>
            <w:r w:rsidRPr="00CB61B6">
              <w:rPr>
                <w:rFonts w:asciiTheme="minorHAnsi" w:hAnsiTheme="minorHAnsi" w:cstheme="minorHAnsi"/>
                <w:szCs w:val="18"/>
              </w:rPr>
              <w:t xml:space="preserve"> value for</w:t>
            </w:r>
          </w:p>
          <w:p w14:paraId="13992470" w14:textId="77777777" w:rsidR="0025466E" w:rsidRPr="00CB61B6" w:rsidRDefault="0025466E" w:rsidP="00F5043B">
            <w:pPr>
              <w:pStyle w:val="TAH"/>
              <w:rPr>
                <w:rFonts w:asciiTheme="minorHAnsi" w:hAnsiTheme="minorHAnsi" w:cstheme="minorHAnsi"/>
                <w:sz w:val="20"/>
              </w:rPr>
            </w:pPr>
            <w:r w:rsidRPr="00CB61B6">
              <w:rPr>
                <w:rFonts w:asciiTheme="minorHAnsi" w:hAnsiTheme="minorHAnsi" w:cstheme="minorHAnsi"/>
                <w:szCs w:val="18"/>
              </w:rPr>
              <w:t xml:space="preserve"> UE processing </w:t>
            </w:r>
            <w:r w:rsidRPr="00CB61B6">
              <w:rPr>
                <w:rFonts w:asciiTheme="minorHAnsi" w:hAnsiTheme="minorHAnsi" w:cstheme="minorHAnsi"/>
                <w:szCs w:val="18"/>
                <w:lang w:eastAsia="zh-CN"/>
              </w:rPr>
              <w:t>capability 1 [symbols]</w:t>
            </w:r>
          </w:p>
        </w:tc>
        <w:tc>
          <w:tcPr>
            <w:tcW w:w="3420" w:type="dxa"/>
            <w:shd w:val="clear" w:color="auto" w:fill="E0E0E0"/>
            <w:vAlign w:val="center"/>
          </w:tcPr>
          <w:p w14:paraId="7517A045" w14:textId="77777777" w:rsidR="0025466E" w:rsidRPr="00CB61B6" w:rsidRDefault="0025466E" w:rsidP="00F5043B">
            <w:pPr>
              <w:pStyle w:val="TAH"/>
              <w:rPr>
                <w:rFonts w:asciiTheme="minorHAnsi" w:hAnsiTheme="minorHAnsi" w:cstheme="minorHAnsi"/>
                <w:szCs w:val="18"/>
              </w:rPr>
            </w:pPr>
            <w:r w:rsidRPr="00CB61B6">
              <w:rPr>
                <w:rFonts w:asciiTheme="minorHAnsi" w:hAnsiTheme="minorHAnsi" w:cstheme="minorHAnsi"/>
                <w:szCs w:val="18"/>
              </w:rPr>
              <w:t xml:space="preserve">Minimum </w:t>
            </w:r>
            <m:oMath>
              <m:sSub>
                <m:sSubPr>
                  <m:ctrlPr>
                    <w:rPr>
                      <w:rFonts w:ascii="Cambria Math" w:hAnsi="Cambria Math" w:cstheme="minorHAnsi"/>
                      <w:szCs w:val="18"/>
                    </w:rPr>
                  </m:ctrlPr>
                </m:sSubPr>
                <m:e>
                  <m:r>
                    <m:rPr>
                      <m:sty m:val="b"/>
                    </m:rPr>
                    <w:rPr>
                      <w:rFonts w:ascii="Cambria Math" w:hAnsi="Cambria Math" w:cstheme="minorHAnsi"/>
                      <w:szCs w:val="18"/>
                    </w:rPr>
                    <m:t>P</m:t>
                  </m:r>
                </m:e>
                <m:sub>
                  <m:r>
                    <m:rPr>
                      <m:sty m:val="b"/>
                    </m:rPr>
                    <w:rPr>
                      <w:rFonts w:ascii="Cambria Math" w:hAnsi="Cambria Math" w:cstheme="minorHAnsi"/>
                      <w:szCs w:val="18"/>
                    </w:rPr>
                    <m:t>switch</m:t>
                  </m:r>
                </m:sub>
              </m:sSub>
            </m:oMath>
            <w:r w:rsidRPr="00CB61B6">
              <w:rPr>
                <w:rFonts w:asciiTheme="minorHAnsi" w:hAnsiTheme="minorHAnsi" w:cstheme="minorHAnsi"/>
                <w:szCs w:val="18"/>
              </w:rPr>
              <w:t xml:space="preserve"> value for</w:t>
            </w:r>
          </w:p>
          <w:p w14:paraId="266C7120" w14:textId="77777777" w:rsidR="0025466E" w:rsidRPr="00CB61B6" w:rsidRDefault="0025466E" w:rsidP="00F5043B">
            <w:pPr>
              <w:pStyle w:val="TAH"/>
              <w:rPr>
                <w:rFonts w:asciiTheme="minorHAnsi" w:hAnsiTheme="minorHAnsi" w:cstheme="minorHAnsi"/>
              </w:rPr>
            </w:pPr>
            <w:r w:rsidRPr="00CB61B6">
              <w:rPr>
                <w:rFonts w:asciiTheme="minorHAnsi" w:hAnsiTheme="minorHAnsi" w:cstheme="minorHAnsi"/>
                <w:szCs w:val="18"/>
              </w:rPr>
              <w:t xml:space="preserve"> UE processing </w:t>
            </w:r>
            <w:r w:rsidRPr="00CB61B6">
              <w:rPr>
                <w:rFonts w:asciiTheme="minorHAnsi" w:hAnsiTheme="minorHAnsi" w:cstheme="minorHAnsi"/>
                <w:szCs w:val="18"/>
                <w:lang w:eastAsia="zh-CN"/>
              </w:rPr>
              <w:t>capability 2 [symbols]</w:t>
            </w:r>
          </w:p>
        </w:tc>
      </w:tr>
      <w:tr w:rsidR="0025466E" w:rsidRPr="00CB61B6" w14:paraId="032274EE" w14:textId="77777777" w:rsidTr="00F5043B">
        <w:trPr>
          <w:cantSplit/>
          <w:jc w:val="center"/>
        </w:trPr>
        <w:tc>
          <w:tcPr>
            <w:tcW w:w="300" w:type="dxa"/>
            <w:vAlign w:val="center"/>
          </w:tcPr>
          <w:p w14:paraId="17FC17E4" w14:textId="77777777" w:rsidR="0025466E" w:rsidRPr="00CB61B6" w:rsidRDefault="0025466E" w:rsidP="00F5043B">
            <w:pPr>
              <w:pStyle w:val="TAC"/>
              <w:rPr>
                <w:rFonts w:asciiTheme="minorHAnsi" w:hAnsiTheme="minorHAnsi" w:cstheme="minorHAnsi"/>
              </w:rPr>
            </w:pPr>
            <w:r w:rsidRPr="00CB61B6">
              <w:rPr>
                <w:rFonts w:asciiTheme="minorHAnsi" w:hAnsiTheme="minorHAnsi" w:cstheme="minorHAnsi"/>
              </w:rPr>
              <w:t>0</w:t>
            </w:r>
          </w:p>
        </w:tc>
        <w:tc>
          <w:tcPr>
            <w:tcW w:w="3385" w:type="dxa"/>
            <w:vAlign w:val="center"/>
          </w:tcPr>
          <w:p w14:paraId="3D2D3136" w14:textId="77777777" w:rsidR="0025466E" w:rsidRPr="00CB61B6" w:rsidRDefault="0025466E" w:rsidP="00F5043B">
            <w:pPr>
              <w:pStyle w:val="TAC"/>
              <w:rPr>
                <w:rFonts w:asciiTheme="minorHAnsi" w:hAnsiTheme="minorHAnsi" w:cstheme="minorHAnsi"/>
              </w:rPr>
            </w:pPr>
            <w:r w:rsidRPr="00CB61B6">
              <w:rPr>
                <w:rFonts w:asciiTheme="minorHAnsi" w:hAnsiTheme="minorHAnsi" w:cstheme="minorHAnsi"/>
              </w:rPr>
              <w:t>25</w:t>
            </w:r>
          </w:p>
        </w:tc>
        <w:tc>
          <w:tcPr>
            <w:tcW w:w="3420" w:type="dxa"/>
          </w:tcPr>
          <w:p w14:paraId="09C5C4FB" w14:textId="77777777" w:rsidR="0025466E" w:rsidRPr="00CB61B6" w:rsidRDefault="0025466E" w:rsidP="00F5043B">
            <w:pPr>
              <w:pStyle w:val="TAC"/>
              <w:rPr>
                <w:rFonts w:asciiTheme="minorHAnsi" w:hAnsiTheme="minorHAnsi" w:cstheme="minorHAnsi"/>
              </w:rPr>
            </w:pPr>
            <w:r w:rsidRPr="00CB61B6">
              <w:rPr>
                <w:rFonts w:asciiTheme="minorHAnsi" w:hAnsiTheme="minorHAnsi" w:cstheme="minorHAnsi"/>
              </w:rPr>
              <w:t>10</w:t>
            </w:r>
          </w:p>
        </w:tc>
      </w:tr>
      <w:tr w:rsidR="0025466E" w:rsidRPr="00CB61B6" w14:paraId="6804687A" w14:textId="77777777" w:rsidTr="00F5043B">
        <w:trPr>
          <w:cantSplit/>
          <w:jc w:val="center"/>
        </w:trPr>
        <w:tc>
          <w:tcPr>
            <w:tcW w:w="300" w:type="dxa"/>
            <w:vAlign w:val="center"/>
          </w:tcPr>
          <w:p w14:paraId="5BEC7439" w14:textId="77777777" w:rsidR="0025466E" w:rsidRPr="00CB61B6" w:rsidRDefault="0025466E" w:rsidP="00F5043B">
            <w:pPr>
              <w:pStyle w:val="TAC"/>
              <w:rPr>
                <w:rFonts w:asciiTheme="minorHAnsi" w:hAnsiTheme="minorHAnsi" w:cstheme="minorHAnsi"/>
              </w:rPr>
            </w:pPr>
            <w:r w:rsidRPr="00CB61B6">
              <w:rPr>
                <w:rFonts w:asciiTheme="minorHAnsi" w:hAnsiTheme="minorHAnsi" w:cstheme="minorHAnsi"/>
              </w:rPr>
              <w:t>1</w:t>
            </w:r>
          </w:p>
        </w:tc>
        <w:tc>
          <w:tcPr>
            <w:tcW w:w="3385" w:type="dxa"/>
            <w:vAlign w:val="center"/>
          </w:tcPr>
          <w:p w14:paraId="19339D88" w14:textId="77777777" w:rsidR="0025466E" w:rsidRPr="00CB61B6" w:rsidRDefault="0025466E" w:rsidP="00F5043B">
            <w:pPr>
              <w:pStyle w:val="TAC"/>
              <w:rPr>
                <w:rFonts w:asciiTheme="minorHAnsi" w:hAnsiTheme="minorHAnsi" w:cstheme="minorHAnsi"/>
              </w:rPr>
            </w:pPr>
            <w:r w:rsidRPr="00CB61B6">
              <w:rPr>
                <w:rFonts w:asciiTheme="minorHAnsi" w:hAnsiTheme="minorHAnsi" w:cstheme="minorHAnsi"/>
              </w:rPr>
              <w:t>25</w:t>
            </w:r>
          </w:p>
        </w:tc>
        <w:tc>
          <w:tcPr>
            <w:tcW w:w="3420" w:type="dxa"/>
          </w:tcPr>
          <w:p w14:paraId="6C2F2752" w14:textId="77777777" w:rsidR="0025466E" w:rsidRPr="00CB61B6" w:rsidRDefault="0025466E" w:rsidP="00F5043B">
            <w:pPr>
              <w:pStyle w:val="TAC"/>
              <w:rPr>
                <w:rFonts w:asciiTheme="minorHAnsi" w:hAnsiTheme="minorHAnsi" w:cstheme="minorHAnsi"/>
              </w:rPr>
            </w:pPr>
            <w:r w:rsidRPr="00CB61B6">
              <w:rPr>
                <w:rFonts w:asciiTheme="minorHAnsi" w:hAnsiTheme="minorHAnsi" w:cstheme="minorHAnsi"/>
              </w:rPr>
              <w:t>12</w:t>
            </w:r>
          </w:p>
        </w:tc>
      </w:tr>
      <w:tr w:rsidR="0025466E" w:rsidRPr="00CB61B6" w14:paraId="72DD8571" w14:textId="77777777" w:rsidTr="00F5043B">
        <w:trPr>
          <w:cantSplit/>
          <w:jc w:val="center"/>
        </w:trPr>
        <w:tc>
          <w:tcPr>
            <w:tcW w:w="300" w:type="dxa"/>
            <w:vAlign w:val="center"/>
          </w:tcPr>
          <w:p w14:paraId="0C28FB8C" w14:textId="77777777" w:rsidR="0025466E" w:rsidRPr="00CB61B6" w:rsidRDefault="0025466E" w:rsidP="00F5043B">
            <w:pPr>
              <w:pStyle w:val="TAC"/>
              <w:rPr>
                <w:rFonts w:asciiTheme="minorHAnsi" w:hAnsiTheme="minorHAnsi" w:cstheme="minorHAnsi"/>
              </w:rPr>
            </w:pPr>
            <w:r w:rsidRPr="00CB61B6">
              <w:rPr>
                <w:rFonts w:asciiTheme="minorHAnsi" w:hAnsiTheme="minorHAnsi" w:cstheme="minorHAnsi"/>
              </w:rPr>
              <w:t>2</w:t>
            </w:r>
          </w:p>
        </w:tc>
        <w:tc>
          <w:tcPr>
            <w:tcW w:w="3385" w:type="dxa"/>
            <w:vAlign w:val="center"/>
          </w:tcPr>
          <w:p w14:paraId="1B46DA91" w14:textId="77777777" w:rsidR="0025466E" w:rsidRPr="00CB61B6" w:rsidRDefault="0025466E" w:rsidP="00F5043B">
            <w:pPr>
              <w:pStyle w:val="TAC"/>
              <w:rPr>
                <w:rFonts w:asciiTheme="minorHAnsi" w:hAnsiTheme="minorHAnsi" w:cstheme="minorHAnsi"/>
              </w:rPr>
            </w:pPr>
            <w:r w:rsidRPr="00CB61B6">
              <w:rPr>
                <w:rFonts w:asciiTheme="minorHAnsi" w:hAnsiTheme="minorHAnsi" w:cstheme="minorHAnsi"/>
              </w:rPr>
              <w:t>25</w:t>
            </w:r>
          </w:p>
        </w:tc>
        <w:tc>
          <w:tcPr>
            <w:tcW w:w="3420" w:type="dxa"/>
          </w:tcPr>
          <w:p w14:paraId="083BA2B4" w14:textId="77777777" w:rsidR="0025466E" w:rsidRPr="00CB61B6" w:rsidRDefault="0025466E" w:rsidP="00F5043B">
            <w:pPr>
              <w:pStyle w:val="TAC"/>
              <w:rPr>
                <w:rFonts w:asciiTheme="minorHAnsi" w:hAnsiTheme="minorHAnsi" w:cstheme="minorHAnsi"/>
              </w:rPr>
            </w:pPr>
            <w:r w:rsidRPr="00CB61B6">
              <w:rPr>
                <w:rFonts w:asciiTheme="minorHAnsi" w:hAnsiTheme="minorHAnsi" w:cstheme="minorHAnsi"/>
              </w:rPr>
              <w:t>22</w:t>
            </w:r>
          </w:p>
        </w:tc>
      </w:tr>
    </w:tbl>
    <w:p w14:paraId="375526C7" w14:textId="77777777" w:rsidR="0025466E" w:rsidRPr="00CB61B6" w:rsidRDefault="0025466E" w:rsidP="0025466E">
      <w:pPr>
        <w:rPr>
          <w:lang w:val="en-GB" w:eastAsia="ja-JP"/>
        </w:rPr>
      </w:pPr>
    </w:p>
    <w:p w14:paraId="58BD7B54" w14:textId="77777777" w:rsidR="0025466E" w:rsidRPr="00CB61B6" w:rsidRDefault="0025466E" w:rsidP="0025466E">
      <w:pPr>
        <w:rPr>
          <w:lang w:val="en-GB" w:eastAsia="ja-JP"/>
        </w:rPr>
      </w:pPr>
      <w:r w:rsidRPr="00CB61B6">
        <w:rPr>
          <w:lang w:val="en-GB" w:eastAsia="ja-JP"/>
        </w:rPr>
        <w:t xml:space="preserve">The above values can be used as the </w:t>
      </w:r>
      <w:r>
        <w:rPr>
          <w:lang w:val="en-GB" w:eastAsia="ja-JP"/>
        </w:rPr>
        <w:t xml:space="preserve">minimum application delay </w:t>
      </w:r>
      <w:r w:rsidRPr="00CB61B6">
        <w:rPr>
          <w:lang w:val="en-GB" w:eastAsia="ja-JP"/>
        </w:rPr>
        <w:t xml:space="preserve">for Rel. 17 </w:t>
      </w:r>
      <w:r>
        <w:rPr>
          <w:lang w:val="en-GB" w:eastAsia="ja-JP"/>
        </w:rPr>
        <w:t xml:space="preserve">SSSG-switching. </w:t>
      </w:r>
      <w:r w:rsidRPr="00CB61B6">
        <w:rPr>
          <w:lang w:val="en-GB" w:eastAsia="ja-JP"/>
        </w:rPr>
        <w:t>As we can see from the above table, the value for the numerology of 3 is not yet standardized as NR-U does not support this numerology. For Rel. 17 power-saving feature, this value needs to be determined.</w:t>
      </w:r>
    </w:p>
    <w:p w14:paraId="783139F3" w14:textId="16C56364" w:rsidR="0025466E" w:rsidRPr="00ED0531" w:rsidRDefault="0025466E" w:rsidP="0025466E">
      <w:pPr>
        <w:pStyle w:val="Proposal"/>
        <w:numPr>
          <w:ilvl w:val="0"/>
          <w:numId w:val="3"/>
        </w:numPr>
        <w:jc w:val="left"/>
        <w:rPr>
          <w:rFonts w:asciiTheme="minorHAnsi" w:hAnsiTheme="minorHAnsi" w:cstheme="minorHAnsi"/>
        </w:rPr>
      </w:pPr>
      <w:bookmarkStart w:id="31" w:name="_Toc86930119"/>
      <w:bookmarkStart w:id="32" w:name="_Toc92804332"/>
      <w:r w:rsidRPr="00ED0531">
        <w:rPr>
          <w:rFonts w:asciiTheme="minorHAnsi" w:hAnsiTheme="minorHAnsi" w:cstheme="minorHAnsi"/>
        </w:rPr>
        <w:t xml:space="preserve">The minimum application delay from Rel. 16 SSSG-switching feature can be used as the </w:t>
      </w:r>
      <w:r w:rsidR="00A02800">
        <w:rPr>
          <w:rFonts w:asciiTheme="minorHAnsi" w:hAnsiTheme="minorHAnsi" w:cstheme="minorHAnsi"/>
        </w:rPr>
        <w:t>minimum</w:t>
      </w:r>
      <w:r w:rsidR="00A02800" w:rsidRPr="00ED0531">
        <w:rPr>
          <w:rFonts w:asciiTheme="minorHAnsi" w:hAnsiTheme="minorHAnsi" w:cstheme="minorHAnsi"/>
        </w:rPr>
        <w:t xml:space="preserve"> </w:t>
      </w:r>
      <w:r w:rsidRPr="00ED0531">
        <w:rPr>
          <w:rFonts w:asciiTheme="minorHAnsi" w:hAnsiTheme="minorHAnsi" w:cstheme="minorHAnsi"/>
        </w:rPr>
        <w:t>application delay for Rel. 17 SSSG-switching</w:t>
      </w:r>
      <w:r w:rsidR="008C02F0">
        <w:rPr>
          <w:rFonts w:asciiTheme="minorHAnsi" w:hAnsiTheme="minorHAnsi" w:cstheme="minorHAnsi"/>
        </w:rPr>
        <w:t xml:space="preserve"> </w:t>
      </w:r>
      <w:r w:rsidR="00AB5CEE">
        <w:rPr>
          <w:rFonts w:asciiTheme="minorHAnsi" w:hAnsiTheme="minorHAnsi" w:cstheme="minorHAnsi"/>
        </w:rPr>
        <w:t>d</w:t>
      </w:r>
      <w:r w:rsidR="008C02F0" w:rsidRPr="008C02F0">
        <w:rPr>
          <w:rFonts w:asciiTheme="minorHAnsi" w:hAnsiTheme="minorHAnsi" w:cstheme="minorHAnsi"/>
        </w:rPr>
        <w:t>elay for 120 kHz SCS is [25] symbols</w:t>
      </w:r>
      <w:r w:rsidRPr="00ED0531">
        <w:rPr>
          <w:rFonts w:asciiTheme="minorHAnsi" w:hAnsiTheme="minorHAnsi" w:cstheme="minorHAnsi"/>
        </w:rPr>
        <w:t>.</w:t>
      </w:r>
      <w:bookmarkEnd w:id="31"/>
      <w:r w:rsidR="00597744">
        <w:rPr>
          <w:rFonts w:asciiTheme="minorHAnsi" w:hAnsiTheme="minorHAnsi" w:cstheme="minorHAnsi"/>
        </w:rPr>
        <w:t xml:space="preserve"> The minimum application delay can be used as the application delay for switching triggered by SSSG-switching timer or via non-scheduling DCI.</w:t>
      </w:r>
      <w:bookmarkEnd w:id="32"/>
    </w:p>
    <w:p w14:paraId="10163196" w14:textId="77777777" w:rsidR="0025466E" w:rsidRDefault="0025466E" w:rsidP="0025466E">
      <w:pPr>
        <w:pStyle w:val="Proposal"/>
        <w:numPr>
          <w:ilvl w:val="0"/>
          <w:numId w:val="0"/>
        </w:numPr>
        <w:rPr>
          <w:rFonts w:asciiTheme="minorHAnsi" w:hAnsiTheme="minorHAnsi" w:cstheme="minorHAnsi"/>
          <w:color w:val="A6A6A6" w:themeColor="background1" w:themeShade="A6"/>
        </w:rPr>
      </w:pPr>
    </w:p>
    <w:p w14:paraId="13AC4D4C" w14:textId="21D85BEE" w:rsidR="009F0489" w:rsidRDefault="009F0489" w:rsidP="0025466E">
      <w:pPr>
        <w:rPr>
          <w:lang w:eastAsia="ja-JP"/>
        </w:rPr>
      </w:pPr>
      <w:r w:rsidRPr="009F0489">
        <w:rPr>
          <w:lang w:eastAsia="ja-JP"/>
        </w:rPr>
        <w:t xml:space="preserve">Note that in Rel. 16 SSSG-switching feature for NR-U, the application delay is </w:t>
      </w:r>
      <w:r w:rsidR="00DC4C72">
        <w:rPr>
          <w:lang w:eastAsia="ja-JP"/>
        </w:rPr>
        <w:t>on</w:t>
      </w:r>
      <w:r w:rsidRPr="009F0489">
        <w:rPr>
          <w:lang w:eastAsia="ja-JP"/>
        </w:rPr>
        <w:t xml:space="preserve"> a symbol basis. I.e., the application delay is counted from the last symbol of the received indication, e.g., the last symbol of the PDCCH containing the DCI which indicates switching. </w:t>
      </w:r>
      <w:r w:rsidR="00C3109E">
        <w:rPr>
          <w:lang w:eastAsia="ja-JP"/>
        </w:rPr>
        <w:t>A</w:t>
      </w:r>
      <w:r w:rsidRPr="009F0489">
        <w:rPr>
          <w:lang w:eastAsia="ja-JP"/>
        </w:rPr>
        <w:t xml:space="preserve"> similar approach can be used for Rel. 17 PDCCH monitoring adaptation feature</w:t>
      </w:r>
      <w:r>
        <w:rPr>
          <w:lang w:eastAsia="ja-JP"/>
        </w:rPr>
        <w:t>.</w:t>
      </w:r>
    </w:p>
    <w:p w14:paraId="79540A55" w14:textId="77777777" w:rsidR="0032778B" w:rsidRPr="0025466E" w:rsidRDefault="0032778B" w:rsidP="0025466E">
      <w:pPr>
        <w:rPr>
          <w:lang w:eastAsia="ja-JP"/>
        </w:rPr>
      </w:pPr>
    </w:p>
    <w:p w14:paraId="77F4C214" w14:textId="355F710F" w:rsidR="00757DF3" w:rsidRDefault="00757DF3" w:rsidP="00757DF3">
      <w:pPr>
        <w:pStyle w:val="Heading4"/>
        <w:ind w:left="1134" w:hanging="1134"/>
      </w:pPr>
      <w:r>
        <w:t>2.3.1.2</w:t>
      </w:r>
      <w:r>
        <w:tab/>
      </w:r>
      <w:r w:rsidRPr="00757DF3">
        <w:t>Application delay for SSSG-switching indicated by scheduling DCI</w:t>
      </w:r>
    </w:p>
    <w:p w14:paraId="6C08F255" w14:textId="77777777" w:rsidR="00757DF3" w:rsidRPr="00035684" w:rsidRDefault="00757DF3" w:rsidP="00757DF3">
      <w:pPr>
        <w:rPr>
          <w:lang w:val="en-GB" w:eastAsia="ja-JP"/>
        </w:rPr>
      </w:pPr>
      <w:r w:rsidRPr="00035684">
        <w:rPr>
          <w:lang w:val="en-GB" w:eastAsia="ja-JP"/>
        </w:rPr>
        <w:t xml:space="preserve">UE power-saving through SSSG-switching is achieved by switching to an SSSG with sparse monitoring at the end of the data burst. For the case of the switching is </w:t>
      </w:r>
      <w:r>
        <w:rPr>
          <w:lang w:val="en-GB" w:eastAsia="ja-JP"/>
        </w:rPr>
        <w:t xml:space="preserve">being </w:t>
      </w:r>
      <w:r w:rsidRPr="00035684">
        <w:rPr>
          <w:lang w:val="en-GB" w:eastAsia="ja-JP"/>
        </w:rPr>
        <w:t>triggered by a scheduling DCI, the gNB would typically send the switching command anticipating that the corresponding PDSCH is successfully received. However, this cannot be always guaranteed, and premature switching to sparse monitoring increases delays in packet delivery.</w:t>
      </w:r>
    </w:p>
    <w:p w14:paraId="2E4589C9" w14:textId="77777777" w:rsidR="00757DF3" w:rsidRPr="00B81B2C" w:rsidRDefault="00757DF3" w:rsidP="00757DF3">
      <w:pPr>
        <w:rPr>
          <w:color w:val="A6A6A6" w:themeColor="background1" w:themeShade="A6"/>
          <w:lang w:val="en-GB" w:eastAsia="ja-JP"/>
        </w:rPr>
      </w:pPr>
      <w:r w:rsidRPr="008225DF">
        <w:rPr>
          <w:lang w:val="en-GB" w:eastAsia="ja-JP"/>
        </w:rPr>
        <w:t>Straightforwardly, this issue can be omitted when the UE feedback (e.g., ACK/NACK) is considered for the adaptation, e.g., the UE will only switch to the sparser SS after it successfully decodes the PDSCH scheduled using the PDCCH that contains the switching indication. This approach is preferable because it does not require a complex mechanism. For example, in another option, we may want to apply the switching immediately after the indication, and if the UE fails to decode the PDSCH, the UE may then monitor the possible retransmission. Here, additional complexities in the mechanism may come from:</w:t>
      </w:r>
    </w:p>
    <w:p w14:paraId="3CC3B4DE" w14:textId="77777777" w:rsidR="00757DF3" w:rsidRPr="001C6202" w:rsidRDefault="00757DF3" w:rsidP="00757DF3">
      <w:pPr>
        <w:pStyle w:val="ListParagraph"/>
        <w:numPr>
          <w:ilvl w:val="0"/>
          <w:numId w:val="57"/>
        </w:numPr>
        <w:rPr>
          <w:lang w:val="en-GB" w:eastAsia="ja-JP"/>
        </w:rPr>
      </w:pPr>
      <w:r w:rsidRPr="001C6202">
        <w:rPr>
          <w:lang w:val="en-GB" w:eastAsia="ja-JP"/>
        </w:rPr>
        <w:t>A relation between the retransmission timer with the SSSG may need to be defined, e.g., what SSSG needs to be applied during the retransmission window. There is also a possibility that the UE needs to switch back and forth between SSSGs.</w:t>
      </w:r>
    </w:p>
    <w:p w14:paraId="3AFE821D" w14:textId="77777777" w:rsidR="00757DF3" w:rsidRPr="001C6202" w:rsidRDefault="00757DF3" w:rsidP="00757DF3">
      <w:pPr>
        <w:pStyle w:val="ListParagraph"/>
        <w:numPr>
          <w:ilvl w:val="0"/>
          <w:numId w:val="57"/>
        </w:numPr>
        <w:rPr>
          <w:lang w:val="en-GB" w:eastAsia="ja-JP"/>
        </w:rPr>
      </w:pPr>
      <w:r w:rsidRPr="001C6202">
        <w:t>For the case of switching from sparse to dense (e.g., at the start of the data burst), the NW may already change to denser SSSG while the UE</w:t>
      </w:r>
      <w:r w:rsidRPr="001C6202">
        <w:rPr>
          <w:lang w:val="en-US"/>
        </w:rPr>
        <w:t xml:space="preserve"> is</w:t>
      </w:r>
      <w:r w:rsidRPr="001C6202">
        <w:t xml:space="preserve"> still in the sparse SSSG.</w:t>
      </w:r>
    </w:p>
    <w:p w14:paraId="50D267BA" w14:textId="77777777" w:rsidR="00757DF3" w:rsidRPr="001C6202" w:rsidRDefault="00757DF3" w:rsidP="00757DF3">
      <w:pPr>
        <w:pStyle w:val="ListParagraph"/>
        <w:numPr>
          <w:ilvl w:val="0"/>
          <w:numId w:val="57"/>
        </w:numPr>
        <w:rPr>
          <w:lang w:val="en-GB" w:eastAsia="ja-JP"/>
        </w:rPr>
      </w:pPr>
      <w:r w:rsidRPr="001C6202">
        <w:t>In some cases, e.g., if the PDSCH is failed to be decoded one or more times, the retransmission window may collide with the DRX on-duration. How to handle such</w:t>
      </w:r>
      <w:r w:rsidRPr="001C6202">
        <w:rPr>
          <w:lang w:val="en-US"/>
        </w:rPr>
        <w:t xml:space="preserve"> a</w:t>
      </w:r>
      <w:r w:rsidRPr="001C6202">
        <w:t xml:space="preserve"> situation needs to be agreed</w:t>
      </w:r>
      <w:r w:rsidRPr="001C6202">
        <w:rPr>
          <w:lang w:val="en-US"/>
        </w:rPr>
        <w:t xml:space="preserve"> upon</w:t>
      </w:r>
      <w:r w:rsidRPr="001C6202">
        <w:t>.</w:t>
      </w:r>
    </w:p>
    <w:p w14:paraId="32E23891" w14:textId="77777777" w:rsidR="00757DF3" w:rsidRPr="001C6202" w:rsidRDefault="00757DF3" w:rsidP="00757DF3">
      <w:pPr>
        <w:pStyle w:val="ListParagraph"/>
        <w:numPr>
          <w:ilvl w:val="0"/>
          <w:numId w:val="57"/>
        </w:numPr>
        <w:rPr>
          <w:lang w:val="en-GB" w:eastAsia="ja-JP"/>
        </w:rPr>
      </w:pPr>
      <w:r w:rsidRPr="001C6202">
        <w:t>The behavior of the switching timer in this scenario may also need to be agreed upon.</w:t>
      </w:r>
    </w:p>
    <w:p w14:paraId="2BA0DF07" w14:textId="77777777" w:rsidR="00757DF3" w:rsidRPr="00413DA2" w:rsidRDefault="00757DF3" w:rsidP="00757DF3">
      <w:pPr>
        <w:spacing w:before="240"/>
        <w:rPr>
          <w:lang w:val="en-GB" w:eastAsia="ja-JP"/>
        </w:rPr>
      </w:pPr>
      <w:r w:rsidRPr="00E52FA3">
        <w:rPr>
          <w:lang w:val="en-GB" w:eastAsia="ja-JP"/>
        </w:rPr>
        <w:t xml:space="preserve">Considering the above, it is preferable that the UE applies the indicated SSSG after the HARQ feedback (or via a configurable application delay). In further detail, it may need to be discussed whether ACK is required </w:t>
      </w:r>
      <w:r w:rsidRPr="00E52FA3">
        <w:rPr>
          <w:lang w:val="en-GB" w:eastAsia="ja-JP"/>
        </w:rPr>
        <w:lastRenderedPageBreak/>
        <w:t>for both transitions. For example, a transition from dense to sparse monitoring requires ACK feedback before the UE applies the sparse monitoring, i.e., to guarantee that the UE will finish the retransmission (if any) as soon as possible (as the dense monitoring is still used). On the other hand, NACK may be sufficient for the case of the UE is indicated from sparse to dense, i.e., as long as the indication is received by the UE, it will be beneficial if the UE switches to dense monitoring as soon as possible to minimize the throughput loss. Note that this may also be beneficial from the power-saving perspective as the UE will finish the transmission faster and go to sleep earlier.</w:t>
      </w:r>
    </w:p>
    <w:p w14:paraId="5598ECE7" w14:textId="33B20E35" w:rsidR="00757DF3" w:rsidRPr="00ED0531" w:rsidRDefault="00757DF3" w:rsidP="00757DF3">
      <w:pPr>
        <w:pStyle w:val="Proposal"/>
        <w:numPr>
          <w:ilvl w:val="0"/>
          <w:numId w:val="3"/>
        </w:numPr>
        <w:tabs>
          <w:tab w:val="clear" w:pos="1304"/>
        </w:tabs>
        <w:ind w:left="1701" w:hanging="1701"/>
        <w:jc w:val="left"/>
        <w:rPr>
          <w:rFonts w:asciiTheme="minorHAnsi" w:hAnsiTheme="minorHAnsi" w:cstheme="minorHAnsi"/>
        </w:rPr>
      </w:pPr>
      <w:bookmarkStart w:id="33" w:name="_Toc71665280"/>
      <w:bookmarkStart w:id="34" w:name="_Toc78814445"/>
      <w:bookmarkStart w:id="35" w:name="_Toc86930122"/>
      <w:bookmarkStart w:id="36" w:name="_Toc92804333"/>
      <w:r w:rsidRPr="00ED0531">
        <w:rPr>
          <w:rFonts w:asciiTheme="minorHAnsi" w:hAnsiTheme="minorHAnsi" w:cstheme="minorHAnsi"/>
        </w:rPr>
        <w:t>For SSSG-switching indicated via scheduling DCI format 1-1/1-2, UE applies switching command (i.e., to the indicated SSSG) after transmitting HARQ-ACK feedback</w:t>
      </w:r>
      <w:bookmarkEnd w:id="33"/>
      <w:bookmarkEnd w:id="34"/>
      <w:r w:rsidRPr="00ED0531">
        <w:rPr>
          <w:rFonts w:asciiTheme="minorHAnsi" w:hAnsiTheme="minorHAnsi" w:cstheme="minorHAnsi"/>
        </w:rPr>
        <w:t>.</w:t>
      </w:r>
      <w:bookmarkEnd w:id="35"/>
      <w:bookmarkEnd w:id="36"/>
    </w:p>
    <w:p w14:paraId="66C54031" w14:textId="77777777" w:rsidR="00757DF3" w:rsidRDefault="00757DF3" w:rsidP="00757DF3">
      <w:pPr>
        <w:rPr>
          <w:lang w:val="en-GB" w:eastAsia="ja-JP"/>
        </w:rPr>
      </w:pPr>
    </w:p>
    <w:p w14:paraId="383C95AE" w14:textId="076A3543" w:rsidR="00757DF3" w:rsidRDefault="00757DF3" w:rsidP="00757DF3">
      <w:pPr>
        <w:rPr>
          <w:lang w:val="en-GB" w:eastAsia="ja-JP"/>
        </w:rPr>
      </w:pPr>
      <w:r>
        <w:rPr>
          <w:lang w:val="en-GB" w:eastAsia="ja-JP"/>
        </w:rPr>
        <w:t xml:space="preserve">For the case of the UE </w:t>
      </w:r>
      <w:r w:rsidR="000011D8">
        <w:rPr>
          <w:lang w:val="en-GB" w:eastAsia="ja-JP"/>
        </w:rPr>
        <w:t>being</w:t>
      </w:r>
      <w:r>
        <w:rPr>
          <w:lang w:val="en-GB" w:eastAsia="ja-JP"/>
        </w:rPr>
        <w:t xml:space="preserve"> scheduled with </w:t>
      </w:r>
      <w:r w:rsidR="000011D8">
        <w:rPr>
          <w:lang w:val="en-GB" w:eastAsia="ja-JP"/>
        </w:rPr>
        <w:t>an</w:t>
      </w:r>
      <w:r>
        <w:rPr>
          <w:lang w:val="en-GB" w:eastAsia="ja-JP"/>
        </w:rPr>
        <w:t xml:space="preserve"> uplink grant, the NW only knows that the PDCCH containing the scheduling DCI is successfully decoded when the NW receives the PUSCH from the UE. It should be noted, however, the reliability of the PUSCH is lower than that of PDCCH. For example, it is possible that the UE successfully decodes the PDCCH, transmits the PUSCH, but the NW failed to receive/decode the PUSCH. Therefore, having the PUSCH as an indication to start the indicated SSSG may not be beneficial. In this circumstance, when the UE is indicated by the NW to switch from the dense PDCCH monitoring to sparse PDCCH monitoring, the UE will start the sparse PDCCH monitoring while the NW is still in the dense PDCCH monitoring.</w:t>
      </w:r>
    </w:p>
    <w:p w14:paraId="0747140C" w14:textId="108A0E54" w:rsidR="00757DF3" w:rsidRPr="009C0F87" w:rsidRDefault="00757DF3" w:rsidP="00757DF3">
      <w:pPr>
        <w:rPr>
          <w:lang w:val="en-GB" w:eastAsia="ja-JP"/>
        </w:rPr>
      </w:pPr>
      <w:r>
        <w:rPr>
          <w:lang w:val="en-GB" w:eastAsia="ja-JP"/>
        </w:rPr>
        <w:t xml:space="preserve">Considering this, timer-based application delay can be considered. The timer can be configurable to the NW so that the UE can be configured with a delay </w:t>
      </w:r>
      <w:r w:rsidR="002E5D16">
        <w:rPr>
          <w:lang w:val="en-GB" w:eastAsia="ja-JP"/>
        </w:rPr>
        <w:t>that</w:t>
      </w:r>
      <w:r>
        <w:rPr>
          <w:lang w:val="en-GB" w:eastAsia="ja-JP"/>
        </w:rPr>
        <w:t xml:space="preserve"> cover</w:t>
      </w:r>
      <w:r w:rsidR="00ED4CE6">
        <w:rPr>
          <w:lang w:val="en-GB" w:eastAsia="ja-JP"/>
        </w:rPr>
        <w:t>s</w:t>
      </w:r>
      <w:r>
        <w:rPr>
          <w:lang w:val="en-GB" w:eastAsia="ja-JP"/>
        </w:rPr>
        <w:t xml:space="preserve"> the PUSCH transmission and if it is deemed to be necessary, the PUSCH retransmission. </w:t>
      </w:r>
    </w:p>
    <w:p w14:paraId="29811DC0" w14:textId="6CF95155" w:rsidR="00757DF3" w:rsidRPr="00DF1AD9" w:rsidRDefault="00757DF3" w:rsidP="00757DF3">
      <w:pPr>
        <w:pStyle w:val="Proposal"/>
        <w:numPr>
          <w:ilvl w:val="0"/>
          <w:numId w:val="3"/>
        </w:numPr>
        <w:tabs>
          <w:tab w:val="clear" w:pos="1304"/>
        </w:tabs>
        <w:ind w:left="1701" w:hanging="1701"/>
        <w:jc w:val="left"/>
        <w:rPr>
          <w:rFonts w:asciiTheme="minorHAnsi" w:hAnsiTheme="minorHAnsi" w:cstheme="minorHAnsi"/>
        </w:rPr>
      </w:pPr>
      <w:bookmarkStart w:id="37" w:name="_Toc86930123"/>
      <w:bookmarkStart w:id="38" w:name="_Hlk86846604"/>
      <w:bookmarkStart w:id="39" w:name="_Toc92804334"/>
      <w:r w:rsidRPr="002706E4">
        <w:rPr>
          <w:rFonts w:asciiTheme="minorHAnsi" w:hAnsiTheme="minorHAnsi" w:cstheme="minorHAnsi"/>
        </w:rPr>
        <w:t>For SSSG-switching indicated via scheduling DCI format 0-1/0-2, UE applies the switching command (i.e., to the indicated SSSG) after an RRC configured dela</w:t>
      </w:r>
      <w:r w:rsidR="002E5E84">
        <w:rPr>
          <w:rFonts w:asciiTheme="minorHAnsi" w:hAnsiTheme="minorHAnsi" w:cstheme="minorHAnsi"/>
        </w:rPr>
        <w:t>y</w:t>
      </w:r>
      <w:r w:rsidRPr="002706E4">
        <w:rPr>
          <w:rFonts w:asciiTheme="minorHAnsi" w:hAnsiTheme="minorHAnsi" w:cstheme="minorHAnsi"/>
        </w:rPr>
        <w:t>. If the timer is not configured, the minimum application delay</w:t>
      </w:r>
      <w:r w:rsidR="002E5E84">
        <w:rPr>
          <w:rFonts w:asciiTheme="minorHAnsi" w:hAnsiTheme="minorHAnsi" w:cstheme="minorHAnsi"/>
        </w:rPr>
        <w:t xml:space="preserve"> for SSSG-switching</w:t>
      </w:r>
      <w:r w:rsidRPr="002706E4">
        <w:rPr>
          <w:rFonts w:asciiTheme="minorHAnsi" w:hAnsiTheme="minorHAnsi" w:cstheme="minorHAnsi"/>
        </w:rPr>
        <w:t xml:space="preserve"> applies.</w:t>
      </w:r>
      <w:bookmarkEnd w:id="37"/>
      <w:bookmarkEnd w:id="38"/>
      <w:bookmarkEnd w:id="39"/>
    </w:p>
    <w:p w14:paraId="5E5D8614" w14:textId="77777777" w:rsidR="001569A1" w:rsidRPr="001569A1" w:rsidRDefault="001569A1" w:rsidP="00757DF3">
      <w:pPr>
        <w:rPr>
          <w:b/>
          <w:bCs/>
          <w:lang w:eastAsia="ja-JP"/>
        </w:rPr>
      </w:pPr>
    </w:p>
    <w:p w14:paraId="2DF123E1" w14:textId="19408ACF" w:rsidR="00757DF3" w:rsidRDefault="00757DF3">
      <w:pPr>
        <w:pStyle w:val="Heading3"/>
      </w:pPr>
      <w:r>
        <w:t>2.3.2</w:t>
      </w:r>
      <w:r>
        <w:tab/>
        <w:t>Application delay for PDCCH-skipping</w:t>
      </w:r>
    </w:p>
    <w:p w14:paraId="1EEAF4BF" w14:textId="77777777" w:rsidR="002F3525" w:rsidRPr="008B77F6" w:rsidRDefault="002F3525" w:rsidP="002F3525">
      <w:pPr>
        <w:rPr>
          <w:lang w:eastAsia="ja-JP"/>
        </w:rPr>
      </w:pPr>
      <w:r w:rsidRPr="008B77F6">
        <w:rPr>
          <w:lang w:eastAsia="ja-JP"/>
        </w:rPr>
        <w:t>For PDCCH-skipping, the effect of the mismatch between the NW and the UE may be smaller compared to SSSG switching, i.e., the effect may come only when the UE is configured with sufficiently large skipping durations. Therefore, as long as the NW has opportunities to send the retransmission (if the UE fails to decode the PDSCH) the UE may still gain power-saving while not necessarily decreasing the throughput. In other words, an application delay of 0 can be applied for PDCCH-skipping.</w:t>
      </w:r>
    </w:p>
    <w:p w14:paraId="36BC040D" w14:textId="77777777" w:rsidR="002F3525" w:rsidRPr="00375A29" w:rsidRDefault="002F3525" w:rsidP="002F3525">
      <w:pPr>
        <w:rPr>
          <w:lang w:eastAsia="ja-JP"/>
        </w:rPr>
      </w:pPr>
      <w:r w:rsidRPr="00375A29">
        <w:rPr>
          <w:lang w:eastAsia="ja-JP"/>
        </w:rPr>
        <w:t>In dealing with possible HARQ retransmission, one possible option is to start the skipping duration after receiving the indication, and if the UE fails to decode the PDSCH, the UE then wakes up during a configured retransmission window.</w:t>
      </w:r>
      <w:r>
        <w:rPr>
          <w:lang w:eastAsia="ja-JP"/>
        </w:rPr>
        <w:t xml:space="preserve"> </w:t>
      </w:r>
      <w:r w:rsidRPr="004D59E3">
        <w:rPr>
          <w:lang w:eastAsia="ja-JP"/>
        </w:rPr>
        <w:t>It should be noted, however, it is possible that the UE may also fail to decode the PDSCH during the retransmission.</w:t>
      </w:r>
    </w:p>
    <w:p w14:paraId="65F43732" w14:textId="77777777" w:rsidR="002F3525" w:rsidRPr="005B0292" w:rsidRDefault="002F3525" w:rsidP="002F3525">
      <w:pPr>
        <w:rPr>
          <w:lang w:eastAsia="ja-JP"/>
        </w:rPr>
      </w:pPr>
      <w:r w:rsidRPr="005B0292">
        <w:rPr>
          <w:lang w:eastAsia="ja-JP"/>
        </w:rPr>
        <w:t>Considering this, having the NACK as an indication to cancel the PDCCH-skipping is preferable. This approach will also give an implicit guarantee that the UE will monitor the retransmission in the same SSSG used before the skipping duration (i.e., most likely the dense monitoring). After the indication is canceled, and if the NW sees that it is still beneficial for the UE to have the skipping, the NW may then send another skipping indication using the DCI carrying the PDSCH retransmission. To make sure that the UE is able to monitor the retransmission, a certain gap between the NACK transmission and the time of the UE resumes the PDCCH monitoring can be introduced.</w:t>
      </w:r>
    </w:p>
    <w:p w14:paraId="64F65626" w14:textId="7AD58918" w:rsidR="002F3525" w:rsidRPr="00780E63" w:rsidRDefault="002F3525" w:rsidP="002F3525">
      <w:pPr>
        <w:pStyle w:val="Proposal"/>
        <w:numPr>
          <w:ilvl w:val="0"/>
          <w:numId w:val="3"/>
        </w:numPr>
        <w:tabs>
          <w:tab w:val="clear" w:pos="1304"/>
        </w:tabs>
        <w:ind w:left="1701" w:hanging="1701"/>
        <w:jc w:val="left"/>
        <w:rPr>
          <w:rFonts w:asciiTheme="minorHAnsi" w:hAnsiTheme="minorHAnsi" w:cstheme="minorHAnsi"/>
        </w:rPr>
      </w:pPr>
      <w:bookmarkStart w:id="40" w:name="_Toc86930124"/>
      <w:bookmarkStart w:id="41" w:name="_Toc92804335"/>
      <w:r w:rsidRPr="00780E63">
        <w:rPr>
          <w:rFonts w:asciiTheme="minorHAnsi" w:hAnsiTheme="minorHAnsi" w:cstheme="minorHAnsi"/>
        </w:rPr>
        <w:lastRenderedPageBreak/>
        <w:t>For PDCCH-skipping via scheduling DCI format 1-1/1-2, UE applies the skipping after the UE receives the indication. If the UE fails to decode the PDSCH (and transmits a NACK), the skipping is canceled in the slots after the NACK transmission (if any).</w:t>
      </w:r>
      <w:bookmarkEnd w:id="40"/>
      <w:bookmarkEnd w:id="41"/>
    </w:p>
    <w:p w14:paraId="5953D99A" w14:textId="77777777" w:rsidR="002F3525" w:rsidRDefault="002F3525" w:rsidP="002F3525">
      <w:pPr>
        <w:pStyle w:val="Proposal"/>
        <w:numPr>
          <w:ilvl w:val="0"/>
          <w:numId w:val="0"/>
        </w:numPr>
        <w:rPr>
          <w:rFonts w:asciiTheme="minorHAnsi" w:hAnsiTheme="minorHAnsi" w:cstheme="minorHAnsi"/>
          <w:color w:val="A6A6A6" w:themeColor="background1" w:themeShade="A6"/>
        </w:rPr>
      </w:pPr>
    </w:p>
    <w:p w14:paraId="0B74216D" w14:textId="627984A0" w:rsidR="009E6301" w:rsidRDefault="009E6301" w:rsidP="00757DF3">
      <w:pPr>
        <w:rPr>
          <w:lang w:eastAsia="ja-JP"/>
        </w:rPr>
      </w:pPr>
      <w:r w:rsidRPr="009E6301">
        <w:rPr>
          <w:lang w:eastAsia="ja-JP"/>
        </w:rPr>
        <w:t xml:space="preserve">Similar </w:t>
      </w:r>
      <w:r w:rsidR="006A3A23">
        <w:rPr>
          <w:lang w:eastAsia="ja-JP"/>
        </w:rPr>
        <w:t>to</w:t>
      </w:r>
      <w:r w:rsidRPr="009E6301">
        <w:rPr>
          <w:lang w:eastAsia="ja-JP"/>
        </w:rPr>
        <w:t xml:space="preserve"> the SSSG-switching above, relying solely on PUSCH transmission/reception as the indication in starting the skipping duration when it is triggered by DCI format 0-1/0-2 may be hard to be done. This is because the NW could not </w:t>
      </w:r>
      <w:r w:rsidR="006F251C">
        <w:rPr>
          <w:lang w:eastAsia="ja-JP"/>
        </w:rPr>
        <w:t>be</w:t>
      </w:r>
      <w:r w:rsidRPr="009E6301">
        <w:rPr>
          <w:lang w:eastAsia="ja-JP"/>
        </w:rPr>
        <w:t xml:space="preserve"> sure whether the unsuccessful PUSCH reception was caused by the UE unsuccessfully decod</w:t>
      </w:r>
      <w:r w:rsidR="0040573E">
        <w:rPr>
          <w:lang w:eastAsia="ja-JP"/>
        </w:rPr>
        <w:t>ing</w:t>
      </w:r>
      <w:r w:rsidRPr="009E6301">
        <w:rPr>
          <w:lang w:eastAsia="ja-JP"/>
        </w:rPr>
        <w:t xml:space="preserve"> the PDCCH scheduling the PUSCH, or the UE transmits the PUSCH, but the NW fails to decode that PUSCH. Always apply</w:t>
      </w:r>
      <w:r w:rsidR="00F21A09">
        <w:rPr>
          <w:lang w:eastAsia="ja-JP"/>
        </w:rPr>
        <w:t>ing</w:t>
      </w:r>
      <w:r w:rsidRPr="009E6301">
        <w:rPr>
          <w:lang w:eastAsia="ja-JP"/>
        </w:rPr>
        <w:t xml:space="preserve"> the skipping duration immediately may also be a drawback in some cases, e.g., for the case of the uplink channel quality from the UE to the NW is not really good, because the NW always needs to wait until the skipping duration ends before sending the retransmission</w:t>
      </w:r>
    </w:p>
    <w:p w14:paraId="5CE29E14" w14:textId="602DEABE" w:rsidR="00DB21D2" w:rsidRDefault="00DB21D2" w:rsidP="00757DF3">
      <w:pPr>
        <w:rPr>
          <w:lang w:eastAsia="ja-JP"/>
        </w:rPr>
      </w:pPr>
      <w:r w:rsidRPr="00DB21D2">
        <w:rPr>
          <w:lang w:eastAsia="ja-JP"/>
        </w:rPr>
        <w:t xml:space="preserve">To overcome this problem, an RRC-configured application delay can be used. Using the timer, e.g., which covers possible PDCCH retransmission if PUSCH is not received by the NW, the UE and the NW will have </w:t>
      </w:r>
      <w:r w:rsidR="003A3E66">
        <w:rPr>
          <w:lang w:eastAsia="ja-JP"/>
        </w:rPr>
        <w:t xml:space="preserve">a </w:t>
      </w:r>
      <w:r w:rsidRPr="00DB21D2">
        <w:rPr>
          <w:lang w:eastAsia="ja-JP"/>
        </w:rPr>
        <w:t xml:space="preserve">higher probability to be in synch. I.e., if the NW does not receive the PUSCH, the NW can simply retransmit the PDCCH scheduling a PUSCH retransmission without needing to wait until the skipping duration ends. To get an extra power-saving, the behavior during the time between the PDCCH reception and the PUSCH transmission can be left to UE proprietary (i.e., whether to monitor PDCCH or not). However, from the UE transmits PUSCH and the expiration of the application delay timer, the UE needs to monitor PDCCH as there might be PDCCH </w:t>
      </w:r>
      <w:r w:rsidR="00D81BC1">
        <w:rPr>
          <w:lang w:eastAsia="ja-JP"/>
        </w:rPr>
        <w:t>for</w:t>
      </w:r>
      <w:r w:rsidRPr="00DB21D2">
        <w:rPr>
          <w:lang w:eastAsia="ja-JP"/>
        </w:rPr>
        <w:t xml:space="preserve"> PUSCH retransmission (if the NW fails to receive PUSCH). In addition, </w:t>
      </w:r>
      <w:r w:rsidR="00E177C5">
        <w:rPr>
          <w:lang w:eastAsia="ja-JP"/>
        </w:rPr>
        <w:t>in</w:t>
      </w:r>
      <w:r w:rsidRPr="00DB21D2">
        <w:rPr>
          <w:lang w:eastAsia="ja-JP"/>
        </w:rPr>
        <w:t xml:space="preserve"> the case the link quality is deemed to be </w:t>
      </w:r>
      <w:r w:rsidR="00537E35" w:rsidRPr="00DB21D2">
        <w:rPr>
          <w:lang w:eastAsia="ja-JP"/>
        </w:rPr>
        <w:t>sufficient;</w:t>
      </w:r>
      <w:r w:rsidRPr="00DB21D2">
        <w:rPr>
          <w:lang w:eastAsia="ja-JP"/>
        </w:rPr>
        <w:t xml:space="preserve"> the UE may not be configured with the application delay timer. In such a configuration, the UE may apply the adaptation indication immediately after decod</w:t>
      </w:r>
      <w:r w:rsidR="007D0959">
        <w:rPr>
          <w:lang w:eastAsia="ja-JP"/>
        </w:rPr>
        <w:t>ing</w:t>
      </w:r>
      <w:r w:rsidRPr="00DB21D2">
        <w:rPr>
          <w:lang w:eastAsia="ja-JP"/>
        </w:rPr>
        <w:t xml:space="preserve"> the PDCCH containing the skipping indication.</w:t>
      </w:r>
    </w:p>
    <w:p w14:paraId="5E5D55A4" w14:textId="785F4B38" w:rsidR="00DB21D2" w:rsidRPr="00036200" w:rsidRDefault="00DB21D2" w:rsidP="00DB21D2">
      <w:pPr>
        <w:pStyle w:val="Proposal"/>
        <w:numPr>
          <w:ilvl w:val="0"/>
          <w:numId w:val="3"/>
        </w:numPr>
        <w:tabs>
          <w:tab w:val="clear" w:pos="1304"/>
        </w:tabs>
        <w:ind w:left="1701" w:hanging="1701"/>
        <w:jc w:val="left"/>
        <w:rPr>
          <w:rFonts w:asciiTheme="minorHAnsi" w:hAnsiTheme="minorHAnsi" w:cstheme="minorHAnsi"/>
        </w:rPr>
      </w:pPr>
      <w:bookmarkStart w:id="42" w:name="_Toc92804336"/>
      <w:r w:rsidRPr="00036200">
        <w:rPr>
          <w:rFonts w:asciiTheme="minorHAnsi" w:hAnsiTheme="minorHAnsi" w:cstheme="minorHAnsi"/>
        </w:rPr>
        <w:t>For PDCCH-skipping indicated via scheduling DCI format 0-1/0-2, UE applies the skipping command after an RRC configured delay. If the timer is not configured, the UE applies the PDCCH-skipping immediately.</w:t>
      </w:r>
      <w:bookmarkEnd w:id="42"/>
    </w:p>
    <w:p w14:paraId="34C09430" w14:textId="77777777" w:rsidR="00D3076C" w:rsidRPr="002F3525" w:rsidRDefault="00D3076C" w:rsidP="00757DF3">
      <w:pPr>
        <w:rPr>
          <w:lang w:eastAsia="ja-JP"/>
        </w:rPr>
      </w:pPr>
    </w:p>
    <w:p w14:paraId="7331AD3D" w14:textId="5E4944DD" w:rsidR="00835166" w:rsidRDefault="00835166">
      <w:pPr>
        <w:pStyle w:val="Heading3"/>
      </w:pPr>
      <w:r>
        <w:t>2.3.3</w:t>
      </w:r>
      <w:r>
        <w:tab/>
        <w:t>UE behaviour/assumption during the application delay</w:t>
      </w:r>
    </w:p>
    <w:p w14:paraId="296E8C5E" w14:textId="77777777" w:rsidR="00EB6C7A" w:rsidRPr="00CA33CC" w:rsidRDefault="00EB6C7A" w:rsidP="00EB6C7A">
      <w:pPr>
        <w:rPr>
          <w:lang w:val="en-GB" w:eastAsia="ja-JP"/>
        </w:rPr>
      </w:pPr>
      <w:r w:rsidRPr="00CA33CC">
        <w:rPr>
          <w:lang w:val="en-GB" w:eastAsia="ja-JP"/>
        </w:rPr>
        <w:t>During the application delay, the NW and the UE need to have the same understanding of the expected behaviour. F</w:t>
      </w:r>
      <w:r>
        <w:rPr>
          <w:lang w:val="en-GB" w:eastAsia="ja-JP"/>
        </w:rPr>
        <w:t>or example</w:t>
      </w:r>
      <w:r w:rsidRPr="00CA33CC">
        <w:rPr>
          <w:lang w:val="en-GB" w:eastAsia="ja-JP"/>
        </w:rPr>
        <w:t>, it needs to be clarified whether there could be transmission inside the application delay or not. In the last meeting, it is agreed that the impact on the new data transmission or data retransmission should be minimized. Thus, it is reasonable to design the fast active-time-switching mechanisms without interruptions to UE transmission/reception on any serving cell during the switching. Other UE power savings approaches that need RF retuning and interruptions can be used if more power savings are needed.</w:t>
      </w:r>
    </w:p>
    <w:p w14:paraId="110BAF11" w14:textId="64F07903" w:rsidR="00EB6C7A" w:rsidRPr="00C75EE7" w:rsidRDefault="00EB6C7A" w:rsidP="00EB6C7A">
      <w:pPr>
        <w:pStyle w:val="Proposal"/>
        <w:numPr>
          <w:ilvl w:val="0"/>
          <w:numId w:val="3"/>
        </w:numPr>
        <w:tabs>
          <w:tab w:val="clear" w:pos="1304"/>
        </w:tabs>
        <w:ind w:left="1701" w:hanging="1701"/>
        <w:rPr>
          <w:rFonts w:asciiTheme="minorHAnsi" w:hAnsiTheme="minorHAnsi" w:cstheme="minorHAnsi"/>
        </w:rPr>
      </w:pPr>
      <w:bookmarkStart w:id="43" w:name="_Toc47731210"/>
      <w:bookmarkStart w:id="44" w:name="_Toc57649589"/>
      <w:bookmarkStart w:id="45" w:name="_Toc71665281"/>
      <w:bookmarkStart w:id="46" w:name="_Toc78814446"/>
      <w:bookmarkStart w:id="47" w:name="_Toc86930128"/>
      <w:bookmarkStart w:id="48" w:name="_Toc92804337"/>
      <w:r w:rsidRPr="00C75EE7">
        <w:rPr>
          <w:rFonts w:asciiTheme="minorHAnsi" w:hAnsiTheme="minorHAnsi" w:cstheme="minorHAnsi"/>
        </w:rPr>
        <w:t>PDCCH monitoring adaptation for Rel. 17 should not entail an interruption to UE transmission/reception on any serving cell.</w:t>
      </w:r>
      <w:bookmarkEnd w:id="43"/>
      <w:bookmarkEnd w:id="44"/>
      <w:bookmarkEnd w:id="45"/>
      <w:bookmarkEnd w:id="46"/>
      <w:bookmarkEnd w:id="47"/>
      <w:bookmarkEnd w:id="48"/>
      <w:r w:rsidRPr="00C75EE7">
        <w:rPr>
          <w:rFonts w:asciiTheme="minorHAnsi" w:hAnsiTheme="minorHAnsi" w:cstheme="minorHAnsi"/>
        </w:rPr>
        <w:t xml:space="preserve"> </w:t>
      </w:r>
    </w:p>
    <w:p w14:paraId="1F4575FC" w14:textId="77777777" w:rsidR="000916B4" w:rsidRPr="005F577B" w:rsidRDefault="000916B4" w:rsidP="000916B4">
      <w:pPr>
        <w:pStyle w:val="Heading1"/>
        <w:rPr>
          <w:lang w:val="en-US"/>
        </w:rPr>
      </w:pPr>
      <w:r w:rsidRPr="005F577B">
        <w:rPr>
          <w:lang w:val="en-US"/>
        </w:rPr>
        <w:t>Conclusion</w:t>
      </w:r>
    </w:p>
    <w:p w14:paraId="46CC1146" w14:textId="77777777" w:rsidR="000916B4" w:rsidRPr="001E7D31" w:rsidRDefault="000916B4" w:rsidP="000916B4">
      <w:pPr>
        <w:pStyle w:val="BodyText"/>
        <w:rPr>
          <w:rFonts w:asciiTheme="minorHAnsi" w:hAnsiTheme="minorHAnsi" w:cstheme="minorHAnsi"/>
        </w:rPr>
      </w:pPr>
      <w:r w:rsidRPr="001E7D31">
        <w:rPr>
          <w:rFonts w:asciiTheme="minorHAnsi" w:hAnsiTheme="minorHAnsi" w:cstheme="minorHAnsi"/>
        </w:rPr>
        <w:t xml:space="preserve">In section 2, the following observations and proposals were made: </w:t>
      </w:r>
    </w:p>
    <w:p w14:paraId="3399C633" w14:textId="77777777" w:rsidR="00BE2FC1"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92804318" w:history="1">
        <w:r w:rsidR="00BE2FC1" w:rsidRPr="005768C3">
          <w:rPr>
            <w:rStyle w:val="Hyperlink"/>
            <w:rFonts w:cstheme="minorHAnsi"/>
            <w:noProof/>
          </w:rPr>
          <w:t>Proposal 1</w:t>
        </w:r>
        <w:r w:rsidR="00BE2FC1">
          <w:rPr>
            <w:rFonts w:asciiTheme="minorHAnsi" w:eastAsiaTheme="minorEastAsia" w:hAnsiTheme="minorHAnsi"/>
            <w:b w:val="0"/>
            <w:noProof/>
          </w:rPr>
          <w:tab/>
        </w:r>
        <w:r w:rsidR="00BE2FC1" w:rsidRPr="005768C3">
          <w:rPr>
            <w:rStyle w:val="Hyperlink"/>
            <w:rFonts w:cstheme="minorHAnsi"/>
            <w:noProof/>
          </w:rPr>
          <w:t xml:space="preserve">Support </w:t>
        </w:r>
        <w:r w:rsidR="00BE2FC1" w:rsidRPr="005768C3">
          <w:rPr>
            <w:rStyle w:val="Hyperlink"/>
            <w:rFonts w:cstheme="minorHAnsi"/>
            <w:i/>
            <w:iCs/>
            <w:noProof/>
          </w:rPr>
          <w:t>M</w:t>
        </w:r>
        <w:r w:rsidR="00BE2FC1" w:rsidRPr="005768C3">
          <w:rPr>
            <w:rStyle w:val="Hyperlink"/>
            <w:rFonts w:cstheme="minorHAnsi"/>
            <w:noProof/>
          </w:rPr>
          <w:t xml:space="preserve"> = 3 for PDCCH-skipping with 2 bits indication.</w:t>
        </w:r>
      </w:hyperlink>
    </w:p>
    <w:p w14:paraId="2D555464" w14:textId="77777777" w:rsidR="00BE2FC1" w:rsidRDefault="0085047C">
      <w:pPr>
        <w:pStyle w:val="TableofFigures"/>
        <w:tabs>
          <w:tab w:val="right" w:leader="dot" w:pos="9629"/>
        </w:tabs>
        <w:rPr>
          <w:rFonts w:asciiTheme="minorHAnsi" w:eastAsiaTheme="minorEastAsia" w:hAnsiTheme="minorHAnsi"/>
          <w:b w:val="0"/>
          <w:noProof/>
        </w:rPr>
      </w:pPr>
      <w:hyperlink w:anchor="_Toc92804319" w:history="1">
        <w:r w:rsidR="00BE2FC1" w:rsidRPr="005768C3">
          <w:rPr>
            <w:rStyle w:val="Hyperlink"/>
            <w:rFonts w:cstheme="minorHAnsi"/>
            <w:noProof/>
          </w:rPr>
          <w:t>Proposal 2</w:t>
        </w:r>
        <w:r w:rsidR="00BE2FC1">
          <w:rPr>
            <w:rFonts w:asciiTheme="minorHAnsi" w:eastAsiaTheme="minorEastAsia" w:hAnsiTheme="minorHAnsi"/>
            <w:b w:val="0"/>
            <w:noProof/>
          </w:rPr>
          <w:tab/>
        </w:r>
        <w:r w:rsidR="00BE2FC1" w:rsidRPr="005768C3">
          <w:rPr>
            <w:rStyle w:val="Hyperlink"/>
            <w:rFonts w:cstheme="minorHAnsi"/>
            <w:noProof/>
          </w:rPr>
          <w:t>For PDCCH skipping, the skipping durations are configured per BWP.</w:t>
        </w:r>
      </w:hyperlink>
    </w:p>
    <w:p w14:paraId="3D934D34" w14:textId="77777777" w:rsidR="00BE2FC1" w:rsidRDefault="0085047C">
      <w:pPr>
        <w:pStyle w:val="TableofFigures"/>
        <w:tabs>
          <w:tab w:val="right" w:leader="dot" w:pos="9629"/>
        </w:tabs>
        <w:rPr>
          <w:rFonts w:asciiTheme="minorHAnsi" w:eastAsiaTheme="minorEastAsia" w:hAnsiTheme="minorHAnsi"/>
          <w:b w:val="0"/>
          <w:noProof/>
        </w:rPr>
      </w:pPr>
      <w:hyperlink w:anchor="_Toc92804320" w:history="1">
        <w:r w:rsidR="00BE2FC1" w:rsidRPr="005768C3">
          <w:rPr>
            <w:rStyle w:val="Hyperlink"/>
            <w:rFonts w:cstheme="minorHAnsi"/>
            <w:noProof/>
          </w:rPr>
          <w:t>Proposal 3</w:t>
        </w:r>
        <w:r w:rsidR="00BE2FC1">
          <w:rPr>
            <w:rFonts w:asciiTheme="minorHAnsi" w:eastAsiaTheme="minorEastAsia" w:hAnsiTheme="minorHAnsi"/>
            <w:b w:val="0"/>
            <w:noProof/>
          </w:rPr>
          <w:tab/>
        </w:r>
        <w:r w:rsidR="00BE2FC1" w:rsidRPr="005768C3">
          <w:rPr>
            <w:rStyle w:val="Hyperlink"/>
            <w:rFonts w:cstheme="minorHAnsi"/>
            <w:noProof/>
          </w:rPr>
          <w:t>Support a symbol level skipping duration, e.g., half slot if the skipping duration starts from the last symbol in which the skipping indication is received.</w:t>
        </w:r>
      </w:hyperlink>
    </w:p>
    <w:p w14:paraId="5705ABAA" w14:textId="77777777" w:rsidR="00BE2FC1" w:rsidRDefault="0085047C">
      <w:pPr>
        <w:pStyle w:val="TableofFigures"/>
        <w:tabs>
          <w:tab w:val="right" w:leader="dot" w:pos="9629"/>
        </w:tabs>
        <w:rPr>
          <w:rFonts w:asciiTheme="minorHAnsi" w:eastAsiaTheme="minorEastAsia" w:hAnsiTheme="minorHAnsi"/>
          <w:b w:val="0"/>
          <w:noProof/>
        </w:rPr>
      </w:pPr>
      <w:hyperlink w:anchor="_Toc92804321" w:history="1">
        <w:r w:rsidR="00BE2FC1" w:rsidRPr="005768C3">
          <w:rPr>
            <w:rStyle w:val="Hyperlink"/>
            <w:rFonts w:cstheme="minorHAnsi"/>
            <w:noProof/>
          </w:rPr>
          <w:t>Proposal 4</w:t>
        </w:r>
        <w:r w:rsidR="00BE2FC1">
          <w:rPr>
            <w:rFonts w:asciiTheme="minorHAnsi" w:eastAsiaTheme="minorEastAsia" w:hAnsiTheme="minorHAnsi"/>
            <w:b w:val="0"/>
            <w:noProof/>
          </w:rPr>
          <w:tab/>
        </w:r>
        <w:r w:rsidR="00BE2FC1" w:rsidRPr="005768C3">
          <w:rPr>
            <w:rStyle w:val="Hyperlink"/>
            <w:rFonts w:cstheme="minorHAnsi"/>
            <w:noProof/>
          </w:rPr>
          <w:t>For SSSG-switching, the switching timer can be configured per non-default SSSG.</w:t>
        </w:r>
      </w:hyperlink>
    </w:p>
    <w:p w14:paraId="0F97888E" w14:textId="77777777" w:rsidR="00BE2FC1" w:rsidRDefault="0085047C">
      <w:pPr>
        <w:pStyle w:val="TableofFigures"/>
        <w:tabs>
          <w:tab w:val="right" w:leader="dot" w:pos="9629"/>
        </w:tabs>
        <w:rPr>
          <w:rFonts w:asciiTheme="minorHAnsi" w:eastAsiaTheme="minorEastAsia" w:hAnsiTheme="minorHAnsi"/>
          <w:b w:val="0"/>
          <w:noProof/>
        </w:rPr>
      </w:pPr>
      <w:hyperlink w:anchor="_Toc92804322" w:history="1">
        <w:r w:rsidR="00BE2FC1" w:rsidRPr="005768C3">
          <w:rPr>
            <w:rStyle w:val="Hyperlink"/>
            <w:rFonts w:cstheme="minorHAnsi"/>
            <w:noProof/>
          </w:rPr>
          <w:t>Proposal 5</w:t>
        </w:r>
        <w:r w:rsidR="00BE2FC1">
          <w:rPr>
            <w:rFonts w:asciiTheme="minorHAnsi" w:eastAsiaTheme="minorEastAsia" w:hAnsiTheme="minorHAnsi"/>
            <w:b w:val="0"/>
            <w:noProof/>
          </w:rPr>
          <w:tab/>
        </w:r>
        <w:r w:rsidR="00BE2FC1" w:rsidRPr="005768C3">
          <w:rPr>
            <w:rStyle w:val="Hyperlink"/>
            <w:rFonts w:cstheme="minorHAnsi"/>
            <w:noProof/>
          </w:rPr>
          <w:t>An explicit configuration of the number of the configured SSSGs can be considered for SSSG-switching behavior.</w:t>
        </w:r>
      </w:hyperlink>
    </w:p>
    <w:p w14:paraId="435E635D" w14:textId="77777777" w:rsidR="00BE2FC1" w:rsidRDefault="0085047C">
      <w:pPr>
        <w:pStyle w:val="TableofFigures"/>
        <w:tabs>
          <w:tab w:val="right" w:leader="dot" w:pos="9629"/>
        </w:tabs>
        <w:rPr>
          <w:rFonts w:asciiTheme="minorHAnsi" w:eastAsiaTheme="minorEastAsia" w:hAnsiTheme="minorHAnsi"/>
          <w:b w:val="0"/>
          <w:noProof/>
        </w:rPr>
      </w:pPr>
      <w:hyperlink w:anchor="_Toc92804323" w:history="1">
        <w:r w:rsidR="00BE2FC1" w:rsidRPr="005768C3">
          <w:rPr>
            <w:rStyle w:val="Hyperlink"/>
            <w:noProof/>
            <w:lang w:val="en-GB" w:eastAsia="ja-JP"/>
          </w:rPr>
          <w:t>Proposal 6</w:t>
        </w:r>
        <w:r w:rsidR="00BE2FC1">
          <w:rPr>
            <w:rFonts w:asciiTheme="minorHAnsi" w:eastAsiaTheme="minorEastAsia" w:hAnsiTheme="minorHAnsi"/>
            <w:b w:val="0"/>
            <w:noProof/>
          </w:rPr>
          <w:tab/>
        </w:r>
        <w:r w:rsidR="00BE2FC1" w:rsidRPr="005768C3">
          <w:rPr>
            <w:rStyle w:val="Hyperlink"/>
            <w:rFonts w:cstheme="minorHAnsi"/>
            <w:noProof/>
          </w:rPr>
          <w:t>Support intercell indication for PDCCH monitoring adaptation with DCI 1-1 for P(S)Cell, at least for the case like case 2 dormancy indication and using a new RNTI configured by higher layers.</w:t>
        </w:r>
      </w:hyperlink>
    </w:p>
    <w:p w14:paraId="1716ADF8" w14:textId="77777777" w:rsidR="00BE2FC1" w:rsidRDefault="0085047C">
      <w:pPr>
        <w:pStyle w:val="TableofFigures"/>
        <w:tabs>
          <w:tab w:val="right" w:leader="dot" w:pos="9629"/>
        </w:tabs>
        <w:rPr>
          <w:rFonts w:asciiTheme="minorHAnsi" w:eastAsiaTheme="minorEastAsia" w:hAnsiTheme="minorHAnsi"/>
          <w:b w:val="0"/>
          <w:noProof/>
        </w:rPr>
      </w:pPr>
      <w:hyperlink w:anchor="_Toc92804324" w:history="1">
        <w:r w:rsidR="00BE2FC1" w:rsidRPr="005768C3">
          <w:rPr>
            <w:rStyle w:val="Hyperlink"/>
            <w:rFonts w:cstheme="minorHAnsi"/>
            <w:noProof/>
          </w:rPr>
          <w:t>Proposal 7</w:t>
        </w:r>
        <w:r w:rsidR="00BE2FC1">
          <w:rPr>
            <w:rFonts w:asciiTheme="minorHAnsi" w:eastAsiaTheme="minorEastAsia" w:hAnsiTheme="minorHAnsi"/>
            <w:b w:val="0"/>
            <w:noProof/>
          </w:rPr>
          <w:tab/>
        </w:r>
        <w:r w:rsidR="00BE2FC1" w:rsidRPr="005768C3">
          <w:rPr>
            <w:rStyle w:val="Hyperlink"/>
            <w:rFonts w:cstheme="minorHAnsi"/>
            <w:noProof/>
          </w:rPr>
          <w:t>For a cell for which PDCCH monitoring can be adapted, it should be possible to support different number of bits for same cell indication and intercell indication (e.g., 2-bits for indication on same cell and 1-bit for intercell indication from another cell).</w:t>
        </w:r>
      </w:hyperlink>
    </w:p>
    <w:p w14:paraId="5C1CCBFF" w14:textId="77777777" w:rsidR="00BE2FC1" w:rsidRDefault="0085047C">
      <w:pPr>
        <w:pStyle w:val="TableofFigures"/>
        <w:tabs>
          <w:tab w:val="right" w:leader="dot" w:pos="9629"/>
        </w:tabs>
        <w:rPr>
          <w:rFonts w:asciiTheme="minorHAnsi" w:eastAsiaTheme="minorEastAsia" w:hAnsiTheme="minorHAnsi"/>
          <w:b w:val="0"/>
          <w:noProof/>
        </w:rPr>
      </w:pPr>
      <w:hyperlink w:anchor="_Toc92804325" w:history="1">
        <w:r w:rsidR="00BE2FC1" w:rsidRPr="005768C3">
          <w:rPr>
            <w:rStyle w:val="Hyperlink"/>
            <w:rFonts w:cstheme="minorHAnsi"/>
            <w:noProof/>
          </w:rPr>
          <w:t>Proposal 8</w:t>
        </w:r>
        <w:r w:rsidR="00BE2FC1">
          <w:rPr>
            <w:rFonts w:asciiTheme="minorHAnsi" w:eastAsiaTheme="minorEastAsia" w:hAnsiTheme="minorHAnsi"/>
            <w:b w:val="0"/>
            <w:noProof/>
          </w:rPr>
          <w:tab/>
        </w:r>
        <w:r w:rsidR="00BE2FC1" w:rsidRPr="005768C3">
          <w:rPr>
            <w:rStyle w:val="Hyperlink"/>
            <w:rFonts w:cstheme="minorHAnsi"/>
            <w:noProof/>
          </w:rPr>
          <w:t>For a cell for which PDCCH monitoring can be adapted, it should be possible to independently configure same cell indication and intercell indication.</w:t>
        </w:r>
      </w:hyperlink>
    </w:p>
    <w:p w14:paraId="57CAEBB9" w14:textId="77777777" w:rsidR="00BE2FC1" w:rsidRDefault="0085047C">
      <w:pPr>
        <w:pStyle w:val="TableofFigures"/>
        <w:tabs>
          <w:tab w:val="right" w:leader="dot" w:pos="9629"/>
        </w:tabs>
        <w:rPr>
          <w:rFonts w:asciiTheme="minorHAnsi" w:eastAsiaTheme="minorEastAsia" w:hAnsiTheme="minorHAnsi"/>
          <w:b w:val="0"/>
          <w:noProof/>
        </w:rPr>
      </w:pPr>
      <w:hyperlink w:anchor="_Toc92804326" w:history="1">
        <w:r w:rsidR="00BE2FC1" w:rsidRPr="005768C3">
          <w:rPr>
            <w:rStyle w:val="Hyperlink"/>
            <w:rFonts w:cstheme="minorHAnsi"/>
            <w:noProof/>
          </w:rPr>
          <w:t>Proposal 9</w:t>
        </w:r>
        <w:r w:rsidR="00BE2FC1">
          <w:rPr>
            <w:rFonts w:asciiTheme="minorHAnsi" w:eastAsiaTheme="minorEastAsia" w:hAnsiTheme="minorHAnsi"/>
            <w:b w:val="0"/>
            <w:noProof/>
          </w:rPr>
          <w:tab/>
        </w:r>
        <w:r w:rsidR="00BE2FC1" w:rsidRPr="005768C3">
          <w:rPr>
            <w:rStyle w:val="Hyperlink"/>
            <w:rFonts w:cstheme="minorHAnsi"/>
            <w:noProof/>
          </w:rPr>
          <w:t>Higher layers can configure the PDCCH monitoring adaptation indication bits to be present only in the DL scheduling DCI, UL scheduling DCI, or both DL scheduling DCI and UL scheduling DCI.</w:t>
        </w:r>
      </w:hyperlink>
    </w:p>
    <w:p w14:paraId="1EC1FC3D" w14:textId="77777777" w:rsidR="00BE2FC1" w:rsidRDefault="0085047C">
      <w:pPr>
        <w:pStyle w:val="TableofFigures"/>
        <w:tabs>
          <w:tab w:val="right" w:leader="dot" w:pos="9629"/>
        </w:tabs>
        <w:rPr>
          <w:rFonts w:asciiTheme="minorHAnsi" w:eastAsiaTheme="minorEastAsia" w:hAnsiTheme="minorHAnsi"/>
          <w:b w:val="0"/>
          <w:noProof/>
        </w:rPr>
      </w:pPr>
      <w:hyperlink w:anchor="_Toc92804327" w:history="1">
        <w:r w:rsidR="00BE2FC1" w:rsidRPr="005768C3">
          <w:rPr>
            <w:rStyle w:val="Hyperlink"/>
            <w:rFonts w:cstheme="minorHAnsi"/>
            <w:noProof/>
          </w:rPr>
          <w:t>Proposal 10</w:t>
        </w:r>
        <w:r w:rsidR="00BE2FC1">
          <w:rPr>
            <w:rFonts w:asciiTheme="minorHAnsi" w:eastAsiaTheme="minorEastAsia" w:hAnsiTheme="minorHAnsi"/>
            <w:b w:val="0"/>
            <w:noProof/>
          </w:rPr>
          <w:tab/>
        </w:r>
        <w:r w:rsidR="00BE2FC1" w:rsidRPr="005768C3">
          <w:rPr>
            <w:rStyle w:val="Hyperlink"/>
            <w:rFonts w:cstheme="minorHAnsi"/>
            <w:noProof/>
          </w:rPr>
          <w:t>For Beh 1, a '0' or ‘00’ value for the bit indicates no skipping indicated in the corresponding DCI for PDCCH monitoring.</w:t>
        </w:r>
      </w:hyperlink>
    </w:p>
    <w:p w14:paraId="12F67672" w14:textId="77777777" w:rsidR="00BE2FC1" w:rsidRDefault="0085047C">
      <w:pPr>
        <w:pStyle w:val="TableofFigures"/>
        <w:tabs>
          <w:tab w:val="right" w:leader="dot" w:pos="9629"/>
        </w:tabs>
        <w:rPr>
          <w:rFonts w:asciiTheme="minorHAnsi" w:eastAsiaTheme="minorEastAsia" w:hAnsiTheme="minorHAnsi"/>
          <w:b w:val="0"/>
          <w:noProof/>
        </w:rPr>
      </w:pPr>
      <w:hyperlink w:anchor="_Toc92804328" w:history="1">
        <w:r w:rsidR="00BE2FC1" w:rsidRPr="005768C3">
          <w:rPr>
            <w:rStyle w:val="Hyperlink"/>
            <w:rFonts w:cstheme="minorHAnsi"/>
            <w:noProof/>
          </w:rPr>
          <w:t>Proposal 11</w:t>
        </w:r>
        <w:r w:rsidR="00BE2FC1">
          <w:rPr>
            <w:rFonts w:asciiTheme="minorHAnsi" w:eastAsiaTheme="minorEastAsia" w:hAnsiTheme="minorHAnsi"/>
            <w:b w:val="0"/>
            <w:noProof/>
          </w:rPr>
          <w:tab/>
        </w:r>
        <w:r w:rsidR="00BE2FC1" w:rsidRPr="005768C3">
          <w:rPr>
            <w:rStyle w:val="Hyperlink"/>
            <w:rFonts w:cstheme="minorHAnsi"/>
            <w:noProof/>
          </w:rPr>
          <w:t>The SSSG timer is reset when UE receives a PDCCH with CRC scrambled by C-RNTI/CS-RNTI/MCS-C-RNTI.</w:t>
        </w:r>
      </w:hyperlink>
    </w:p>
    <w:p w14:paraId="142AB56E" w14:textId="77777777" w:rsidR="00BE2FC1" w:rsidRDefault="0085047C">
      <w:pPr>
        <w:pStyle w:val="TableofFigures"/>
        <w:tabs>
          <w:tab w:val="right" w:leader="dot" w:pos="9629"/>
        </w:tabs>
        <w:rPr>
          <w:rFonts w:asciiTheme="minorHAnsi" w:eastAsiaTheme="minorEastAsia" w:hAnsiTheme="minorHAnsi"/>
          <w:b w:val="0"/>
          <w:noProof/>
        </w:rPr>
      </w:pPr>
      <w:hyperlink w:anchor="_Toc92804329" w:history="1">
        <w:r w:rsidR="00BE2FC1" w:rsidRPr="005768C3">
          <w:rPr>
            <w:rStyle w:val="Hyperlink"/>
            <w:rFonts w:cstheme="minorHAnsi"/>
            <w:noProof/>
          </w:rPr>
          <w:t>Proposal 12</w:t>
        </w:r>
        <w:r w:rsidR="00BE2FC1">
          <w:rPr>
            <w:rFonts w:asciiTheme="minorHAnsi" w:eastAsiaTheme="minorEastAsia" w:hAnsiTheme="minorHAnsi"/>
            <w:b w:val="0"/>
            <w:noProof/>
          </w:rPr>
          <w:tab/>
        </w:r>
        <w:r w:rsidR="00BE2FC1" w:rsidRPr="005768C3">
          <w:rPr>
            <w:rStyle w:val="Hyperlink"/>
            <w:rFonts w:cstheme="minorHAnsi"/>
            <w:noProof/>
          </w:rPr>
          <w:t>If the SSSG-switching timer expires and the UE is still in the skipping duration, the UE finishes the skipping duration and monitors PDCCH according to SSSG0 when skipping duration ends.</w:t>
        </w:r>
      </w:hyperlink>
    </w:p>
    <w:p w14:paraId="457EF169" w14:textId="77777777" w:rsidR="00BE2FC1" w:rsidRDefault="0085047C">
      <w:pPr>
        <w:pStyle w:val="TableofFigures"/>
        <w:tabs>
          <w:tab w:val="right" w:leader="dot" w:pos="9629"/>
        </w:tabs>
        <w:rPr>
          <w:rFonts w:asciiTheme="minorHAnsi" w:eastAsiaTheme="minorEastAsia" w:hAnsiTheme="minorHAnsi"/>
          <w:b w:val="0"/>
          <w:noProof/>
        </w:rPr>
      </w:pPr>
      <w:hyperlink w:anchor="_Toc92804330" w:history="1">
        <w:r w:rsidR="00BE2FC1" w:rsidRPr="005768C3">
          <w:rPr>
            <w:rStyle w:val="Hyperlink"/>
            <w:rFonts w:cstheme="minorHAnsi"/>
            <w:noProof/>
          </w:rPr>
          <w:t>Proposal 13</w:t>
        </w:r>
        <w:r w:rsidR="00BE2FC1">
          <w:rPr>
            <w:rFonts w:asciiTheme="minorHAnsi" w:eastAsiaTheme="minorEastAsia" w:hAnsiTheme="minorHAnsi"/>
            <w:b w:val="0"/>
            <w:noProof/>
          </w:rPr>
          <w:tab/>
        </w:r>
        <w:r w:rsidR="00BE2FC1" w:rsidRPr="005768C3">
          <w:rPr>
            <w:rStyle w:val="Hyperlink"/>
            <w:rFonts w:cstheme="minorHAnsi"/>
            <w:noProof/>
          </w:rPr>
          <w:t>UL scheduling request can be used as an implicit indication for PDCCH monitoring adaptation (to end the skipping or to switch to an SSSG). The SSSG (if configured) that UE monitors after transmitting an UL scheduling request is configurable by NW.</w:t>
        </w:r>
      </w:hyperlink>
    </w:p>
    <w:p w14:paraId="320028AE" w14:textId="77777777" w:rsidR="00BE2FC1" w:rsidRDefault="0085047C">
      <w:pPr>
        <w:pStyle w:val="TableofFigures"/>
        <w:tabs>
          <w:tab w:val="right" w:leader="dot" w:pos="9629"/>
        </w:tabs>
        <w:rPr>
          <w:rFonts w:asciiTheme="minorHAnsi" w:eastAsiaTheme="minorEastAsia" w:hAnsiTheme="minorHAnsi"/>
          <w:b w:val="0"/>
          <w:noProof/>
        </w:rPr>
      </w:pPr>
      <w:hyperlink w:anchor="_Toc92804331" w:history="1">
        <w:r w:rsidR="00BE2FC1" w:rsidRPr="005768C3">
          <w:rPr>
            <w:rStyle w:val="Hyperlink"/>
            <w:rFonts w:cstheme="minorHAnsi"/>
            <w:noProof/>
          </w:rPr>
          <w:t>Proposal 14</w:t>
        </w:r>
        <w:r w:rsidR="00BE2FC1">
          <w:rPr>
            <w:rFonts w:asciiTheme="minorHAnsi" w:eastAsiaTheme="minorEastAsia" w:hAnsiTheme="minorHAnsi"/>
            <w:b w:val="0"/>
            <w:noProof/>
          </w:rPr>
          <w:tab/>
        </w:r>
        <w:r w:rsidR="00BE2FC1" w:rsidRPr="005768C3">
          <w:rPr>
            <w:rStyle w:val="Hyperlink"/>
            <w:rFonts w:cstheme="minorHAnsi"/>
            <w:noProof/>
          </w:rPr>
          <w:t>For UE configured with DRX, higher layer signaling can configure SSSG that a UE monitors when coming out of DRX to monitor an ON duration.</w:t>
        </w:r>
      </w:hyperlink>
    </w:p>
    <w:p w14:paraId="4B256564" w14:textId="77777777" w:rsidR="00BE2FC1" w:rsidRDefault="0085047C">
      <w:pPr>
        <w:pStyle w:val="TableofFigures"/>
        <w:tabs>
          <w:tab w:val="right" w:leader="dot" w:pos="9629"/>
        </w:tabs>
        <w:rPr>
          <w:rFonts w:asciiTheme="minorHAnsi" w:eastAsiaTheme="minorEastAsia" w:hAnsiTheme="minorHAnsi"/>
          <w:b w:val="0"/>
          <w:noProof/>
        </w:rPr>
      </w:pPr>
      <w:hyperlink w:anchor="_Toc92804332" w:history="1">
        <w:r w:rsidR="00BE2FC1" w:rsidRPr="005768C3">
          <w:rPr>
            <w:rStyle w:val="Hyperlink"/>
            <w:rFonts w:cstheme="minorHAnsi"/>
            <w:noProof/>
          </w:rPr>
          <w:t>Proposal 15</w:t>
        </w:r>
        <w:r w:rsidR="00BE2FC1">
          <w:rPr>
            <w:rFonts w:asciiTheme="minorHAnsi" w:eastAsiaTheme="minorEastAsia" w:hAnsiTheme="minorHAnsi"/>
            <w:b w:val="0"/>
            <w:noProof/>
          </w:rPr>
          <w:tab/>
        </w:r>
        <w:r w:rsidR="00BE2FC1" w:rsidRPr="005768C3">
          <w:rPr>
            <w:rStyle w:val="Hyperlink"/>
            <w:rFonts w:cstheme="minorHAnsi"/>
            <w:noProof/>
          </w:rPr>
          <w:t>The minimum application delay from Rel. 16 SSSG-switching feature can be used as the minimum application delay for Rel. 17 SSSG-switching delay for 120 kHz SCS is [25] symbols. The minimum application delay can be used as the application delay for switching triggered by SSSG-switching timer or via non-scheduling DCI.</w:t>
        </w:r>
      </w:hyperlink>
    </w:p>
    <w:p w14:paraId="74AF806C" w14:textId="77777777" w:rsidR="00BE2FC1" w:rsidRDefault="0085047C">
      <w:pPr>
        <w:pStyle w:val="TableofFigures"/>
        <w:tabs>
          <w:tab w:val="right" w:leader="dot" w:pos="9629"/>
        </w:tabs>
        <w:rPr>
          <w:rFonts w:asciiTheme="minorHAnsi" w:eastAsiaTheme="minorEastAsia" w:hAnsiTheme="minorHAnsi"/>
          <w:b w:val="0"/>
          <w:noProof/>
        </w:rPr>
      </w:pPr>
      <w:hyperlink w:anchor="_Toc92804333" w:history="1">
        <w:r w:rsidR="00BE2FC1" w:rsidRPr="005768C3">
          <w:rPr>
            <w:rStyle w:val="Hyperlink"/>
            <w:rFonts w:cstheme="minorHAnsi"/>
            <w:noProof/>
          </w:rPr>
          <w:t>Proposal 16</w:t>
        </w:r>
        <w:r w:rsidR="00BE2FC1">
          <w:rPr>
            <w:rFonts w:asciiTheme="minorHAnsi" w:eastAsiaTheme="minorEastAsia" w:hAnsiTheme="minorHAnsi"/>
            <w:b w:val="0"/>
            <w:noProof/>
          </w:rPr>
          <w:tab/>
        </w:r>
        <w:r w:rsidR="00BE2FC1" w:rsidRPr="005768C3">
          <w:rPr>
            <w:rStyle w:val="Hyperlink"/>
            <w:rFonts w:cstheme="minorHAnsi"/>
            <w:noProof/>
          </w:rPr>
          <w:t>For SSSG-switching indicated via scheduling DCI format 1-1/1-2, UE applies switching command (i.e., to the indicated SSSG) after transmitting HARQ-ACK feedback.</w:t>
        </w:r>
      </w:hyperlink>
    </w:p>
    <w:p w14:paraId="0BDE99F0" w14:textId="77777777" w:rsidR="00BE2FC1" w:rsidRDefault="0085047C">
      <w:pPr>
        <w:pStyle w:val="TableofFigures"/>
        <w:tabs>
          <w:tab w:val="right" w:leader="dot" w:pos="9629"/>
        </w:tabs>
        <w:rPr>
          <w:rFonts w:asciiTheme="minorHAnsi" w:eastAsiaTheme="minorEastAsia" w:hAnsiTheme="minorHAnsi"/>
          <w:b w:val="0"/>
          <w:noProof/>
        </w:rPr>
      </w:pPr>
      <w:hyperlink w:anchor="_Toc92804334" w:history="1">
        <w:r w:rsidR="00BE2FC1" w:rsidRPr="005768C3">
          <w:rPr>
            <w:rStyle w:val="Hyperlink"/>
            <w:rFonts w:cstheme="minorHAnsi"/>
            <w:noProof/>
          </w:rPr>
          <w:t>Proposal 17</w:t>
        </w:r>
        <w:r w:rsidR="00BE2FC1">
          <w:rPr>
            <w:rFonts w:asciiTheme="minorHAnsi" w:eastAsiaTheme="minorEastAsia" w:hAnsiTheme="minorHAnsi"/>
            <w:b w:val="0"/>
            <w:noProof/>
          </w:rPr>
          <w:tab/>
        </w:r>
        <w:r w:rsidR="00BE2FC1" w:rsidRPr="005768C3">
          <w:rPr>
            <w:rStyle w:val="Hyperlink"/>
            <w:rFonts w:cstheme="minorHAnsi"/>
            <w:noProof/>
          </w:rPr>
          <w:t>For SSSG-switching indicated via scheduling DCI format 0-1/0-2, UE applies the switching command (i.e., to the indicated SSSG) after an RRC configured delay. If the timer is not configured, the minimum application delay for SSSG-switching applies.</w:t>
        </w:r>
      </w:hyperlink>
    </w:p>
    <w:p w14:paraId="75C43279" w14:textId="77777777" w:rsidR="00BE2FC1" w:rsidRDefault="0085047C">
      <w:pPr>
        <w:pStyle w:val="TableofFigures"/>
        <w:tabs>
          <w:tab w:val="right" w:leader="dot" w:pos="9629"/>
        </w:tabs>
        <w:rPr>
          <w:rFonts w:asciiTheme="minorHAnsi" w:eastAsiaTheme="minorEastAsia" w:hAnsiTheme="minorHAnsi"/>
          <w:b w:val="0"/>
          <w:noProof/>
        </w:rPr>
      </w:pPr>
      <w:hyperlink w:anchor="_Toc92804335" w:history="1">
        <w:r w:rsidR="00BE2FC1" w:rsidRPr="005768C3">
          <w:rPr>
            <w:rStyle w:val="Hyperlink"/>
            <w:rFonts w:cstheme="minorHAnsi"/>
            <w:noProof/>
          </w:rPr>
          <w:t>Proposal 18</w:t>
        </w:r>
        <w:r w:rsidR="00BE2FC1">
          <w:rPr>
            <w:rFonts w:asciiTheme="minorHAnsi" w:eastAsiaTheme="minorEastAsia" w:hAnsiTheme="minorHAnsi"/>
            <w:b w:val="0"/>
            <w:noProof/>
          </w:rPr>
          <w:tab/>
        </w:r>
        <w:r w:rsidR="00BE2FC1" w:rsidRPr="005768C3">
          <w:rPr>
            <w:rStyle w:val="Hyperlink"/>
            <w:rFonts w:cstheme="minorHAnsi"/>
            <w:noProof/>
          </w:rPr>
          <w:t>For PDCCH-skipping via scheduling DCI format 1-1/1-2, UE applies the skipping after the UE receives the indication. If the UE fails to decode the PDSCH (and transmits a NACK), the skipping is canceled in the slots after the NACK transmission (if any).</w:t>
        </w:r>
      </w:hyperlink>
    </w:p>
    <w:p w14:paraId="02D14532" w14:textId="77777777" w:rsidR="00BE2FC1" w:rsidRDefault="0085047C">
      <w:pPr>
        <w:pStyle w:val="TableofFigures"/>
        <w:tabs>
          <w:tab w:val="right" w:leader="dot" w:pos="9629"/>
        </w:tabs>
        <w:rPr>
          <w:rFonts w:asciiTheme="minorHAnsi" w:eastAsiaTheme="minorEastAsia" w:hAnsiTheme="minorHAnsi"/>
          <w:b w:val="0"/>
          <w:noProof/>
        </w:rPr>
      </w:pPr>
      <w:hyperlink w:anchor="_Toc92804336" w:history="1">
        <w:r w:rsidR="00BE2FC1" w:rsidRPr="005768C3">
          <w:rPr>
            <w:rStyle w:val="Hyperlink"/>
            <w:rFonts w:cstheme="minorHAnsi"/>
            <w:noProof/>
          </w:rPr>
          <w:t>Proposal 19</w:t>
        </w:r>
        <w:r w:rsidR="00BE2FC1">
          <w:rPr>
            <w:rFonts w:asciiTheme="minorHAnsi" w:eastAsiaTheme="minorEastAsia" w:hAnsiTheme="minorHAnsi"/>
            <w:b w:val="0"/>
            <w:noProof/>
          </w:rPr>
          <w:tab/>
        </w:r>
        <w:r w:rsidR="00BE2FC1" w:rsidRPr="005768C3">
          <w:rPr>
            <w:rStyle w:val="Hyperlink"/>
            <w:rFonts w:cstheme="minorHAnsi"/>
            <w:noProof/>
          </w:rPr>
          <w:t>For PDCCH-skipping indicated via scheduling DCI format 0-1/0-2, UE applies the skipping command after an RRC configured delay. If the timer is not configured, the UE applies the PDCCH-skipping immediately.</w:t>
        </w:r>
      </w:hyperlink>
    </w:p>
    <w:p w14:paraId="31583EBF" w14:textId="77777777" w:rsidR="00BE2FC1" w:rsidRDefault="0085047C">
      <w:pPr>
        <w:pStyle w:val="TableofFigures"/>
        <w:tabs>
          <w:tab w:val="right" w:leader="dot" w:pos="9629"/>
        </w:tabs>
        <w:rPr>
          <w:rFonts w:asciiTheme="minorHAnsi" w:eastAsiaTheme="minorEastAsia" w:hAnsiTheme="minorHAnsi"/>
          <w:b w:val="0"/>
          <w:noProof/>
        </w:rPr>
      </w:pPr>
      <w:hyperlink w:anchor="_Toc92804337" w:history="1">
        <w:r w:rsidR="00BE2FC1" w:rsidRPr="005768C3">
          <w:rPr>
            <w:rStyle w:val="Hyperlink"/>
            <w:rFonts w:cstheme="minorHAnsi"/>
            <w:noProof/>
          </w:rPr>
          <w:t>Proposal 20</w:t>
        </w:r>
        <w:r w:rsidR="00BE2FC1">
          <w:rPr>
            <w:rFonts w:asciiTheme="minorHAnsi" w:eastAsiaTheme="minorEastAsia" w:hAnsiTheme="minorHAnsi"/>
            <w:b w:val="0"/>
            <w:noProof/>
          </w:rPr>
          <w:tab/>
        </w:r>
        <w:r w:rsidR="00BE2FC1" w:rsidRPr="005768C3">
          <w:rPr>
            <w:rStyle w:val="Hyperlink"/>
            <w:rFonts w:cstheme="minorHAnsi"/>
            <w:noProof/>
          </w:rPr>
          <w:t>PDCCH monitoring adaptation for Rel. 17 should not entail an interruption to UE transmission/reception on any serving cell.</w:t>
        </w:r>
      </w:hyperlink>
    </w:p>
    <w:p w14:paraId="62D802FB" w14:textId="216BE5FB" w:rsidR="000916B4" w:rsidRPr="007258DD" w:rsidRDefault="000916B4" w:rsidP="000916B4">
      <w:pPr>
        <w:pStyle w:val="BodyText"/>
      </w:pPr>
      <w:r w:rsidRPr="005F577B">
        <w:rPr>
          <w:b/>
          <w:bCs/>
        </w:rPr>
        <w:fldChar w:fldCharType="end"/>
      </w:r>
      <w:r w:rsidRPr="005F577B">
        <w:rPr>
          <w:b/>
          <w:bCs/>
        </w:rPr>
        <w:t xml:space="preserve"> </w:t>
      </w:r>
    </w:p>
    <w:p w14:paraId="13F75225" w14:textId="77777777" w:rsidR="000916B4" w:rsidRPr="005F577B" w:rsidRDefault="000916B4" w:rsidP="000916B4">
      <w:pPr>
        <w:pStyle w:val="Heading1"/>
        <w:rPr>
          <w:lang w:val="en-US"/>
        </w:rPr>
      </w:pPr>
      <w:bookmarkStart w:id="49" w:name="_In-sequence_SDU_delivery"/>
      <w:bookmarkEnd w:id="49"/>
      <w:r w:rsidRPr="005F577B">
        <w:rPr>
          <w:lang w:val="en-US"/>
        </w:rPr>
        <w:t>References</w:t>
      </w:r>
    </w:p>
    <w:p w14:paraId="12170BB1" w14:textId="370B3BEB" w:rsidR="000916B4" w:rsidRPr="00381CEC" w:rsidRDefault="003E6A86" w:rsidP="000916B4">
      <w:pPr>
        <w:pStyle w:val="references"/>
        <w:spacing w:line="240" w:lineRule="auto"/>
      </w:pPr>
      <w:r>
        <w:rPr>
          <w:rFonts w:asciiTheme="minorHAnsi" w:hAnsiTheme="minorHAnsi" w:cstheme="minorHAnsi"/>
          <w:sz w:val="20"/>
          <w:szCs w:val="22"/>
        </w:rPr>
        <w:t xml:space="preserve">RAN1#107 chair notes </w:t>
      </w:r>
    </w:p>
    <w:p w14:paraId="7BCB331B" w14:textId="7F1B4B66" w:rsidR="00B26C28" w:rsidRDefault="00B26C28">
      <w:pPr>
        <w:pStyle w:val="Heading1"/>
      </w:pPr>
      <w:r>
        <w:t>Annex</w:t>
      </w:r>
    </w:p>
    <w:p w14:paraId="19F9A60C" w14:textId="77777777" w:rsidR="00B26C28" w:rsidRPr="00B26C28" w:rsidRDefault="00B26C28" w:rsidP="00B26C28">
      <w:pPr>
        <w:spacing w:after="0" w:line="276" w:lineRule="auto"/>
        <w:rPr>
          <w:rFonts w:ascii="Times New Roman" w:hAnsi="Times New Roman" w:cs="Times New Roman"/>
          <w:sz w:val="20"/>
          <w:szCs w:val="20"/>
          <w:lang w:val="en-GB" w:eastAsia="ja-JP"/>
        </w:rPr>
      </w:pPr>
      <w:r w:rsidRPr="00B26C28">
        <w:rPr>
          <w:rFonts w:ascii="Times New Roman" w:hAnsi="Times New Roman" w:cs="Times New Roman"/>
          <w:sz w:val="20"/>
          <w:szCs w:val="20"/>
          <w:highlight w:val="green"/>
          <w:lang w:val="en-GB" w:eastAsia="ja-JP"/>
        </w:rPr>
        <w:t>Agreement</w:t>
      </w:r>
    </w:p>
    <w:p w14:paraId="1963D495" w14:textId="77777777" w:rsidR="00B26C28" w:rsidRPr="00B26C28" w:rsidRDefault="00B26C28" w:rsidP="00B26C28">
      <w:pPr>
        <w:spacing w:after="0" w:line="276" w:lineRule="auto"/>
        <w:rPr>
          <w:rFonts w:ascii="Times New Roman" w:hAnsi="Times New Roman" w:cs="Times New Roman"/>
          <w:sz w:val="20"/>
          <w:szCs w:val="20"/>
          <w:lang w:val="en-GB" w:eastAsia="ja-JP"/>
        </w:rPr>
      </w:pPr>
      <w:r w:rsidRPr="00B26C28">
        <w:rPr>
          <w:rFonts w:ascii="Times New Roman" w:hAnsi="Times New Roman" w:cs="Times New Roman"/>
          <w:sz w:val="20"/>
          <w:szCs w:val="20"/>
          <w:lang w:val="en-GB" w:eastAsia="ja-JP"/>
        </w:rPr>
        <w:t>The following agreement in RAN1#106-E is updated as follows,</w:t>
      </w:r>
    </w:p>
    <w:p w14:paraId="25DF10C7" w14:textId="2BD21BD9" w:rsidR="00B26C28" w:rsidRPr="00B26C28" w:rsidRDefault="00B26C28" w:rsidP="00B26C28">
      <w:pPr>
        <w:spacing w:line="276" w:lineRule="auto"/>
        <w:rPr>
          <w:rFonts w:ascii="Times New Roman" w:hAnsi="Times New Roman" w:cs="Times New Roman"/>
          <w:sz w:val="20"/>
          <w:szCs w:val="20"/>
          <w:lang w:val="en-GB" w:eastAsia="ja-JP"/>
        </w:rPr>
      </w:pPr>
      <w:r w:rsidRPr="00B26C28">
        <w:rPr>
          <w:rFonts w:ascii="Times New Roman" w:hAnsi="Times New Roman" w:cs="Times New Roman"/>
          <w:sz w:val="20"/>
          <w:szCs w:val="20"/>
          <w:highlight w:val="green"/>
          <w:lang w:val="en-GB" w:eastAsia="ja-JP"/>
        </w:rPr>
        <w:t>Agreement (extracted from RAN1#106-E)</w:t>
      </w:r>
    </w:p>
    <w:p w14:paraId="07DF7629" w14:textId="77777777" w:rsidR="00B26C28" w:rsidRDefault="00B26C28" w:rsidP="00B26C28">
      <w:pPr>
        <w:pStyle w:val="ListParagraph"/>
        <w:numPr>
          <w:ilvl w:val="0"/>
          <w:numId w:val="55"/>
        </w:numPr>
        <w:spacing w:line="276" w:lineRule="auto"/>
        <w:ind w:left="426" w:hanging="426"/>
        <w:rPr>
          <w:rFonts w:ascii="Times New Roman" w:hAnsi="Times New Roman" w:cs="Times New Roman"/>
          <w:sz w:val="20"/>
          <w:szCs w:val="20"/>
          <w:lang w:val="en-GB" w:eastAsia="ja-JP"/>
        </w:rPr>
      </w:pPr>
      <w:r w:rsidRPr="00B26C28">
        <w:rPr>
          <w:rFonts w:ascii="Times New Roman" w:hAnsi="Times New Roman" w:cs="Times New Roman"/>
          <w:sz w:val="20"/>
          <w:szCs w:val="20"/>
          <w:lang w:val="en-GB" w:eastAsia="ja-JP"/>
        </w:rPr>
        <w:t>At most 2</w:t>
      </w:r>
      <w:r>
        <w:rPr>
          <w:rFonts w:ascii="Times New Roman" w:hAnsi="Times New Roman" w:cs="Times New Roman"/>
          <w:sz w:val="20"/>
          <w:szCs w:val="20"/>
          <w:lang w:val="en-GB" w:eastAsia="ja-JP"/>
        </w:rPr>
        <w:t>-</w:t>
      </w:r>
      <w:r w:rsidRPr="00B26C28">
        <w:rPr>
          <w:rFonts w:ascii="Times New Roman" w:hAnsi="Times New Roman" w:cs="Times New Roman"/>
          <w:sz w:val="20"/>
          <w:szCs w:val="20"/>
          <w:lang w:val="en-GB" w:eastAsia="ja-JP"/>
        </w:rPr>
        <w:t>bit indication in self-scheduling DCIs (i.e., DCI format 1-1/0-1/1-2/0-2) can be specified for triggering the PDCCH monitoring adaptation in a single cell</w:t>
      </w:r>
    </w:p>
    <w:p w14:paraId="6B65B63C" w14:textId="77777777" w:rsidR="00B26C28" w:rsidRDefault="00B26C28" w:rsidP="00B26C28">
      <w:pPr>
        <w:pStyle w:val="ListParagraph"/>
        <w:numPr>
          <w:ilvl w:val="1"/>
          <w:numId w:val="55"/>
        </w:numPr>
        <w:spacing w:line="276" w:lineRule="auto"/>
        <w:ind w:left="1276" w:hanging="425"/>
        <w:rPr>
          <w:rFonts w:ascii="Times New Roman" w:hAnsi="Times New Roman" w:cs="Times New Roman"/>
          <w:sz w:val="20"/>
          <w:szCs w:val="20"/>
          <w:lang w:val="en-GB" w:eastAsia="ja-JP"/>
        </w:rPr>
      </w:pPr>
      <w:r w:rsidRPr="00B26C28">
        <w:rPr>
          <w:rFonts w:ascii="Times New Roman" w:hAnsi="Times New Roman" w:cs="Times New Roman"/>
          <w:sz w:val="20"/>
          <w:szCs w:val="20"/>
          <w:lang w:val="en-GB" w:eastAsia="ja-JP"/>
        </w:rPr>
        <w:t xml:space="preserve">FFS: the bit size of the indication is configurable </w:t>
      </w:r>
    </w:p>
    <w:p w14:paraId="2566E037" w14:textId="77777777" w:rsidR="00B26C28" w:rsidRDefault="00B26C28" w:rsidP="00B26C28">
      <w:pPr>
        <w:pStyle w:val="ListParagraph"/>
        <w:numPr>
          <w:ilvl w:val="1"/>
          <w:numId w:val="55"/>
        </w:numPr>
        <w:spacing w:line="276" w:lineRule="auto"/>
        <w:ind w:left="1276" w:hanging="425"/>
        <w:rPr>
          <w:rFonts w:ascii="Times New Roman" w:hAnsi="Times New Roman" w:cs="Times New Roman"/>
          <w:sz w:val="20"/>
          <w:szCs w:val="20"/>
          <w:lang w:val="en-GB" w:eastAsia="ja-JP"/>
        </w:rPr>
      </w:pPr>
      <w:r w:rsidRPr="00B26C28">
        <w:rPr>
          <w:rFonts w:ascii="Times New Roman" w:hAnsi="Times New Roman" w:cs="Times New Roman"/>
          <w:sz w:val="20"/>
          <w:szCs w:val="20"/>
          <w:lang w:val="en-GB" w:eastAsia="ja-JP"/>
        </w:rPr>
        <w:t xml:space="preserve">FFS: bit mapping to the PDCCH monitoring behaviour </w:t>
      </w:r>
    </w:p>
    <w:p w14:paraId="60CB982B" w14:textId="77777777" w:rsidR="00B26C28" w:rsidRDefault="00B26C28" w:rsidP="00B26C28">
      <w:pPr>
        <w:pStyle w:val="ListParagraph"/>
        <w:numPr>
          <w:ilvl w:val="1"/>
          <w:numId w:val="55"/>
        </w:numPr>
        <w:spacing w:line="276" w:lineRule="auto"/>
        <w:ind w:left="1276" w:hanging="425"/>
        <w:rPr>
          <w:rFonts w:ascii="Times New Roman" w:hAnsi="Times New Roman" w:cs="Times New Roman"/>
          <w:sz w:val="20"/>
          <w:szCs w:val="20"/>
          <w:lang w:val="en-GB" w:eastAsia="ja-JP"/>
        </w:rPr>
      </w:pPr>
      <w:r w:rsidRPr="00B26C28">
        <w:rPr>
          <w:rFonts w:ascii="Times New Roman" w:hAnsi="Times New Roman" w:cs="Times New Roman"/>
          <w:sz w:val="20"/>
          <w:szCs w:val="20"/>
          <w:lang w:val="en-GB" w:eastAsia="ja-JP"/>
        </w:rPr>
        <w:t>FFS: details of indication of multiple cells case</w:t>
      </w:r>
    </w:p>
    <w:p w14:paraId="57D663D3" w14:textId="6EAC3DCB" w:rsidR="00B26C28" w:rsidRPr="00B26C28" w:rsidRDefault="00B26C28" w:rsidP="00B26C28">
      <w:pPr>
        <w:pStyle w:val="ListParagraph"/>
        <w:numPr>
          <w:ilvl w:val="1"/>
          <w:numId w:val="55"/>
        </w:numPr>
        <w:spacing w:line="276" w:lineRule="auto"/>
        <w:ind w:left="1276" w:hanging="425"/>
        <w:rPr>
          <w:rFonts w:ascii="Times New Roman" w:hAnsi="Times New Roman" w:cs="Times New Roman"/>
          <w:color w:val="FF0000"/>
          <w:sz w:val="20"/>
          <w:szCs w:val="20"/>
          <w:lang w:val="en-GB" w:eastAsia="ja-JP"/>
        </w:rPr>
      </w:pPr>
      <w:r w:rsidRPr="00B26C28">
        <w:rPr>
          <w:rFonts w:ascii="Times New Roman" w:hAnsi="Times New Roman" w:cs="Times New Roman"/>
          <w:color w:val="FF0000"/>
          <w:sz w:val="20"/>
          <w:szCs w:val="20"/>
          <w:lang w:val="en-GB" w:eastAsia="ja-JP"/>
        </w:rPr>
        <w:t>A new indication field in scheduling DCI is used for indicating PDCCH monitoring adaptation</w:t>
      </w:r>
    </w:p>
    <w:p w14:paraId="7AB61A63" w14:textId="77777777" w:rsidR="00B26C28" w:rsidRDefault="00B26C28" w:rsidP="00B26C28">
      <w:pPr>
        <w:spacing w:line="276" w:lineRule="auto"/>
        <w:rPr>
          <w:rFonts w:ascii="Times New Roman" w:hAnsi="Times New Roman" w:cs="Times New Roman"/>
          <w:sz w:val="20"/>
          <w:szCs w:val="20"/>
          <w:lang w:val="en-GB" w:eastAsia="ja-JP"/>
        </w:rPr>
      </w:pPr>
    </w:p>
    <w:p w14:paraId="60D54EC4" w14:textId="4AD223D9" w:rsidR="00B26C28" w:rsidRPr="00B26C28" w:rsidRDefault="00B26C28" w:rsidP="00B26C28">
      <w:pPr>
        <w:spacing w:after="0" w:line="276" w:lineRule="auto"/>
        <w:rPr>
          <w:rFonts w:ascii="Times New Roman" w:hAnsi="Times New Roman" w:cs="Times New Roman"/>
          <w:sz w:val="20"/>
          <w:szCs w:val="20"/>
          <w:lang w:val="en-GB" w:eastAsia="ja-JP"/>
        </w:rPr>
      </w:pPr>
      <w:r w:rsidRPr="00B26C28">
        <w:rPr>
          <w:rFonts w:ascii="Times New Roman" w:hAnsi="Times New Roman" w:cs="Times New Roman"/>
          <w:sz w:val="20"/>
          <w:szCs w:val="20"/>
          <w:highlight w:val="green"/>
          <w:lang w:val="en-GB" w:eastAsia="ja-JP"/>
        </w:rPr>
        <w:t>Agreement</w:t>
      </w:r>
    </w:p>
    <w:p w14:paraId="647B50A1" w14:textId="77777777" w:rsidR="00B26C28" w:rsidRDefault="00B26C28" w:rsidP="00B26C28">
      <w:pPr>
        <w:spacing w:after="0" w:line="276" w:lineRule="auto"/>
        <w:rPr>
          <w:rFonts w:ascii="Times New Roman" w:hAnsi="Times New Roman" w:cs="Times New Roman"/>
          <w:sz w:val="20"/>
          <w:szCs w:val="20"/>
          <w:lang w:val="en-GB" w:eastAsia="ja-JP"/>
        </w:rPr>
      </w:pPr>
      <w:r w:rsidRPr="00B26C28">
        <w:rPr>
          <w:rFonts w:ascii="Times New Roman" w:hAnsi="Times New Roman" w:cs="Times New Roman"/>
          <w:sz w:val="20"/>
          <w:szCs w:val="20"/>
          <w:lang w:val="en-GB" w:eastAsia="ja-JP"/>
        </w:rPr>
        <w:t>Confirm the working assumptions with the following updates (extract from RAN1#106-bis agreements)</w:t>
      </w:r>
    </w:p>
    <w:p w14:paraId="0B539EC5" w14:textId="77777777" w:rsidR="00B26C28" w:rsidRDefault="00B26C28" w:rsidP="00B26C28">
      <w:pPr>
        <w:pStyle w:val="ListParagraph"/>
        <w:numPr>
          <w:ilvl w:val="0"/>
          <w:numId w:val="55"/>
        </w:numPr>
        <w:spacing w:line="276" w:lineRule="auto"/>
        <w:ind w:left="426" w:hanging="426"/>
        <w:rPr>
          <w:rFonts w:ascii="Times New Roman" w:hAnsi="Times New Roman" w:cs="Times New Roman"/>
          <w:sz w:val="20"/>
          <w:szCs w:val="20"/>
          <w:lang w:val="en-GB" w:eastAsia="ja-JP"/>
        </w:rPr>
      </w:pPr>
      <w:r w:rsidRPr="00B26C28">
        <w:rPr>
          <w:rFonts w:ascii="Times New Roman" w:hAnsi="Times New Roman" w:cs="Times New Roman"/>
          <w:sz w:val="20"/>
          <w:szCs w:val="20"/>
          <w:lang w:val="en-GB" w:eastAsia="ja-JP"/>
        </w:rPr>
        <w:t xml:space="preserve">The value of the timer in slots for monitoring PDCCH in the active DL BWP of the serving cell before moving to the default search space group is </w:t>
      </w:r>
    </w:p>
    <w:p w14:paraId="06889341" w14:textId="1131EA5D" w:rsidR="00B26C28" w:rsidRDefault="00B26C28" w:rsidP="00B26C28">
      <w:pPr>
        <w:pStyle w:val="ListParagraph"/>
        <w:numPr>
          <w:ilvl w:val="1"/>
          <w:numId w:val="55"/>
        </w:numPr>
        <w:spacing w:line="276" w:lineRule="auto"/>
        <w:ind w:left="1276" w:hanging="425"/>
        <w:rPr>
          <w:rFonts w:ascii="Times New Roman" w:hAnsi="Times New Roman" w:cs="Times New Roman"/>
          <w:sz w:val="20"/>
          <w:szCs w:val="20"/>
          <w:lang w:val="en-GB" w:eastAsia="ja-JP"/>
        </w:rPr>
      </w:pPr>
      <w:r w:rsidRPr="00B26C28">
        <w:rPr>
          <w:rFonts w:ascii="Times New Roman" w:hAnsi="Times New Roman" w:cs="Times New Roman"/>
          <w:sz w:val="20"/>
          <w:szCs w:val="20"/>
          <w:lang w:val="en-GB" w:eastAsia="ja-JP"/>
        </w:rPr>
        <w:t>{1,</w:t>
      </w:r>
      <w:r w:rsidR="005C60ED">
        <w:rPr>
          <w:rFonts w:ascii="Times New Roman" w:hAnsi="Times New Roman" w:cs="Times New Roman"/>
          <w:sz w:val="20"/>
          <w:szCs w:val="20"/>
          <w:lang w:val="en-GB" w:eastAsia="ja-JP"/>
        </w:rPr>
        <w:t xml:space="preserve"> </w:t>
      </w:r>
      <w:r w:rsidRPr="00B26C28">
        <w:rPr>
          <w:rFonts w:ascii="Times New Roman" w:hAnsi="Times New Roman" w:cs="Times New Roman"/>
          <w:color w:val="FF0000"/>
          <w:sz w:val="20"/>
          <w:szCs w:val="20"/>
          <w:lang w:val="en-GB" w:eastAsia="ja-JP"/>
        </w:rPr>
        <w:t>2,</w:t>
      </w:r>
      <w:r w:rsidR="005C60ED">
        <w:rPr>
          <w:rFonts w:ascii="Times New Roman" w:hAnsi="Times New Roman" w:cs="Times New Roman"/>
          <w:color w:val="FF0000"/>
          <w:sz w:val="20"/>
          <w:szCs w:val="20"/>
          <w:lang w:val="en-GB" w:eastAsia="ja-JP"/>
        </w:rPr>
        <w:t xml:space="preserve"> </w:t>
      </w:r>
      <w:r w:rsidRPr="00B26C28">
        <w:rPr>
          <w:rFonts w:ascii="Times New Roman" w:hAnsi="Times New Roman" w:cs="Times New Roman"/>
          <w:color w:val="FF0000"/>
          <w:sz w:val="20"/>
          <w:szCs w:val="20"/>
          <w:lang w:val="en-GB" w:eastAsia="ja-JP"/>
        </w:rPr>
        <w:t>3,</w:t>
      </w:r>
      <w:r w:rsidR="005C60ED">
        <w:rPr>
          <w:rFonts w:ascii="Times New Roman" w:hAnsi="Times New Roman" w:cs="Times New Roman"/>
          <w:color w:val="FF0000"/>
          <w:sz w:val="20"/>
          <w:szCs w:val="20"/>
          <w:lang w:val="en-GB" w:eastAsia="ja-JP"/>
        </w:rPr>
        <w:t xml:space="preserve"> </w:t>
      </w:r>
      <w:r w:rsidRPr="00B26C28">
        <w:rPr>
          <w:rFonts w:ascii="Times New Roman" w:hAnsi="Times New Roman" w:cs="Times New Roman"/>
          <w:color w:val="FF0000"/>
          <w:sz w:val="20"/>
          <w:szCs w:val="20"/>
          <w:lang w:val="en-GB" w:eastAsia="ja-JP"/>
        </w:rPr>
        <w:t>…,</w:t>
      </w:r>
      <w:r w:rsidR="005C60ED">
        <w:rPr>
          <w:rFonts w:ascii="Times New Roman" w:hAnsi="Times New Roman" w:cs="Times New Roman"/>
          <w:color w:val="FF0000"/>
          <w:sz w:val="20"/>
          <w:szCs w:val="20"/>
          <w:lang w:val="en-GB" w:eastAsia="ja-JP"/>
        </w:rPr>
        <w:t xml:space="preserve"> </w:t>
      </w:r>
      <w:r w:rsidRPr="00B26C28">
        <w:rPr>
          <w:rFonts w:ascii="Times New Roman" w:hAnsi="Times New Roman" w:cs="Times New Roman"/>
          <w:sz w:val="20"/>
          <w:szCs w:val="20"/>
          <w:lang w:val="en-GB" w:eastAsia="ja-JP"/>
        </w:rPr>
        <w:t>20,</w:t>
      </w:r>
      <w:r w:rsidRPr="00B26C28">
        <w:rPr>
          <w:rFonts w:ascii="Times New Roman" w:hAnsi="Times New Roman" w:cs="Times New Roman"/>
          <w:color w:val="FF0000"/>
          <w:sz w:val="20"/>
          <w:szCs w:val="20"/>
          <w:lang w:val="en-GB" w:eastAsia="ja-JP"/>
        </w:rPr>
        <w:t xml:space="preserve">30, </w:t>
      </w:r>
      <w:r w:rsidRPr="00B26C28">
        <w:rPr>
          <w:rFonts w:ascii="Times New Roman" w:hAnsi="Times New Roman" w:cs="Times New Roman"/>
          <w:sz w:val="20"/>
          <w:szCs w:val="20"/>
          <w:lang w:val="en-GB" w:eastAsia="ja-JP"/>
        </w:rPr>
        <w:t xml:space="preserve">40, </w:t>
      </w:r>
      <w:r w:rsidRPr="00B26C28">
        <w:rPr>
          <w:rFonts w:ascii="Times New Roman" w:hAnsi="Times New Roman" w:cs="Times New Roman"/>
          <w:color w:val="FF0000"/>
          <w:sz w:val="20"/>
          <w:szCs w:val="20"/>
          <w:lang w:val="en-GB" w:eastAsia="ja-JP"/>
        </w:rPr>
        <w:t xml:space="preserve">50, </w:t>
      </w:r>
      <w:r w:rsidRPr="00B26C28">
        <w:rPr>
          <w:rFonts w:ascii="Times New Roman" w:hAnsi="Times New Roman" w:cs="Times New Roman"/>
          <w:sz w:val="20"/>
          <w:szCs w:val="20"/>
          <w:lang w:val="en-GB" w:eastAsia="ja-JP"/>
        </w:rPr>
        <w:t>60, 80, 100} for 15 kHz SCS,</w:t>
      </w:r>
    </w:p>
    <w:p w14:paraId="4DED7A22" w14:textId="4F1C7143" w:rsidR="00B26C28" w:rsidRDefault="00B26C28" w:rsidP="00B26C28">
      <w:pPr>
        <w:pStyle w:val="ListParagraph"/>
        <w:numPr>
          <w:ilvl w:val="1"/>
          <w:numId w:val="55"/>
        </w:numPr>
        <w:spacing w:line="276" w:lineRule="auto"/>
        <w:ind w:left="1276" w:hanging="425"/>
        <w:rPr>
          <w:rFonts w:ascii="Times New Roman" w:hAnsi="Times New Roman" w:cs="Times New Roman"/>
          <w:sz w:val="20"/>
          <w:szCs w:val="20"/>
          <w:lang w:val="en-GB" w:eastAsia="ja-JP"/>
        </w:rPr>
      </w:pPr>
      <w:r w:rsidRPr="00B26C28">
        <w:rPr>
          <w:rFonts w:ascii="Times New Roman" w:hAnsi="Times New Roman" w:cs="Times New Roman"/>
          <w:sz w:val="20"/>
          <w:szCs w:val="20"/>
          <w:lang w:val="en-GB" w:eastAsia="ja-JP"/>
        </w:rPr>
        <w:t>{1,</w:t>
      </w:r>
      <w:r w:rsidR="005C60ED">
        <w:rPr>
          <w:rFonts w:ascii="Times New Roman" w:hAnsi="Times New Roman" w:cs="Times New Roman"/>
          <w:sz w:val="20"/>
          <w:szCs w:val="20"/>
          <w:lang w:val="en-GB" w:eastAsia="ja-JP"/>
        </w:rPr>
        <w:t xml:space="preserve"> </w:t>
      </w:r>
      <w:r w:rsidRPr="00B26C28">
        <w:rPr>
          <w:rFonts w:ascii="Times New Roman" w:hAnsi="Times New Roman" w:cs="Times New Roman"/>
          <w:color w:val="FF0000"/>
          <w:sz w:val="20"/>
          <w:szCs w:val="20"/>
          <w:lang w:val="en-GB" w:eastAsia="ja-JP"/>
        </w:rPr>
        <w:t>2,</w:t>
      </w:r>
      <w:r w:rsidR="005C60ED">
        <w:rPr>
          <w:rFonts w:ascii="Times New Roman" w:hAnsi="Times New Roman" w:cs="Times New Roman"/>
          <w:color w:val="FF0000"/>
          <w:sz w:val="20"/>
          <w:szCs w:val="20"/>
          <w:lang w:val="en-GB" w:eastAsia="ja-JP"/>
        </w:rPr>
        <w:t xml:space="preserve"> </w:t>
      </w:r>
      <w:r w:rsidRPr="00B26C28">
        <w:rPr>
          <w:rFonts w:ascii="Times New Roman" w:hAnsi="Times New Roman" w:cs="Times New Roman"/>
          <w:color w:val="FF0000"/>
          <w:sz w:val="20"/>
          <w:szCs w:val="20"/>
          <w:lang w:val="en-GB" w:eastAsia="ja-JP"/>
        </w:rPr>
        <w:t>3,</w:t>
      </w:r>
      <w:r w:rsidR="005C60ED">
        <w:rPr>
          <w:rFonts w:ascii="Times New Roman" w:hAnsi="Times New Roman" w:cs="Times New Roman"/>
          <w:color w:val="FF0000"/>
          <w:sz w:val="20"/>
          <w:szCs w:val="20"/>
          <w:lang w:val="en-GB" w:eastAsia="ja-JP"/>
        </w:rPr>
        <w:t xml:space="preserve"> </w:t>
      </w:r>
      <w:r w:rsidRPr="00B26C28">
        <w:rPr>
          <w:rFonts w:ascii="Times New Roman" w:hAnsi="Times New Roman" w:cs="Times New Roman"/>
          <w:color w:val="FF0000"/>
          <w:sz w:val="20"/>
          <w:szCs w:val="20"/>
          <w:lang w:val="en-GB" w:eastAsia="ja-JP"/>
        </w:rPr>
        <w:t>…,</w:t>
      </w:r>
      <w:r w:rsidR="005C60ED">
        <w:rPr>
          <w:rFonts w:ascii="Times New Roman" w:hAnsi="Times New Roman" w:cs="Times New Roman"/>
          <w:color w:val="FF0000"/>
          <w:sz w:val="20"/>
          <w:szCs w:val="20"/>
          <w:lang w:val="en-GB" w:eastAsia="ja-JP"/>
        </w:rPr>
        <w:t xml:space="preserve"> </w:t>
      </w:r>
      <w:r w:rsidRPr="00B26C28">
        <w:rPr>
          <w:rFonts w:ascii="Times New Roman" w:hAnsi="Times New Roman" w:cs="Times New Roman"/>
          <w:sz w:val="20"/>
          <w:szCs w:val="20"/>
          <w:lang w:val="en-GB" w:eastAsia="ja-JP"/>
        </w:rPr>
        <w:t xml:space="preserve">40, </w:t>
      </w:r>
      <w:r w:rsidRPr="00B26C28">
        <w:rPr>
          <w:rFonts w:ascii="Times New Roman" w:hAnsi="Times New Roman" w:cs="Times New Roman"/>
          <w:color w:val="FF0000"/>
          <w:sz w:val="20"/>
          <w:szCs w:val="20"/>
          <w:lang w:val="en-GB" w:eastAsia="ja-JP"/>
        </w:rPr>
        <w:t xml:space="preserve">60, </w:t>
      </w:r>
      <w:r w:rsidRPr="00B26C28">
        <w:rPr>
          <w:rFonts w:ascii="Times New Roman" w:hAnsi="Times New Roman" w:cs="Times New Roman"/>
          <w:sz w:val="20"/>
          <w:szCs w:val="20"/>
          <w:lang w:val="en-GB" w:eastAsia="ja-JP"/>
        </w:rPr>
        <w:t xml:space="preserve">80, </w:t>
      </w:r>
      <w:r w:rsidRPr="00B26C28">
        <w:rPr>
          <w:rFonts w:ascii="Times New Roman" w:hAnsi="Times New Roman" w:cs="Times New Roman"/>
          <w:color w:val="FF0000"/>
          <w:sz w:val="20"/>
          <w:szCs w:val="20"/>
          <w:lang w:val="en-GB" w:eastAsia="ja-JP"/>
        </w:rPr>
        <w:t xml:space="preserve">100, </w:t>
      </w:r>
      <w:r>
        <w:rPr>
          <w:rFonts w:ascii="Times New Roman" w:hAnsi="Times New Roman" w:cs="Times New Roman"/>
          <w:sz w:val="20"/>
          <w:szCs w:val="20"/>
          <w:lang w:val="en-GB" w:eastAsia="ja-JP"/>
        </w:rPr>
        <w:t xml:space="preserve">120, </w:t>
      </w:r>
      <w:r w:rsidRPr="00B26C28">
        <w:rPr>
          <w:rFonts w:ascii="Times New Roman" w:hAnsi="Times New Roman" w:cs="Times New Roman"/>
          <w:sz w:val="20"/>
          <w:szCs w:val="20"/>
          <w:lang w:val="en-GB" w:eastAsia="ja-JP"/>
        </w:rPr>
        <w:t>160,200} for 30 kHz SCS,</w:t>
      </w:r>
    </w:p>
    <w:p w14:paraId="51A20FA9" w14:textId="5B831729" w:rsidR="00B26C28" w:rsidRDefault="00B26C28" w:rsidP="00B26C28">
      <w:pPr>
        <w:pStyle w:val="ListParagraph"/>
        <w:numPr>
          <w:ilvl w:val="1"/>
          <w:numId w:val="55"/>
        </w:numPr>
        <w:spacing w:line="276" w:lineRule="auto"/>
        <w:ind w:left="1276" w:hanging="425"/>
        <w:rPr>
          <w:rFonts w:ascii="Times New Roman" w:hAnsi="Times New Roman" w:cs="Times New Roman"/>
          <w:sz w:val="20"/>
          <w:szCs w:val="20"/>
          <w:lang w:val="en-GB" w:eastAsia="ja-JP"/>
        </w:rPr>
      </w:pPr>
      <w:r w:rsidRPr="00B26C28">
        <w:rPr>
          <w:rFonts w:ascii="Times New Roman" w:hAnsi="Times New Roman" w:cs="Times New Roman"/>
          <w:sz w:val="20"/>
          <w:szCs w:val="20"/>
          <w:lang w:val="en-GB" w:eastAsia="ja-JP"/>
        </w:rPr>
        <w:t>{1,</w:t>
      </w:r>
      <w:r w:rsidR="005C60ED">
        <w:rPr>
          <w:rFonts w:ascii="Times New Roman" w:hAnsi="Times New Roman" w:cs="Times New Roman"/>
          <w:sz w:val="20"/>
          <w:szCs w:val="20"/>
          <w:lang w:val="en-GB" w:eastAsia="ja-JP"/>
        </w:rPr>
        <w:t xml:space="preserve"> </w:t>
      </w:r>
      <w:r w:rsidRPr="00B26C28">
        <w:rPr>
          <w:rFonts w:ascii="Times New Roman" w:hAnsi="Times New Roman" w:cs="Times New Roman"/>
          <w:color w:val="FF0000"/>
          <w:sz w:val="20"/>
          <w:szCs w:val="20"/>
          <w:lang w:val="en-GB" w:eastAsia="ja-JP"/>
        </w:rPr>
        <w:t>2,</w:t>
      </w:r>
      <w:r w:rsidR="005C60ED">
        <w:rPr>
          <w:rFonts w:ascii="Times New Roman" w:hAnsi="Times New Roman" w:cs="Times New Roman"/>
          <w:color w:val="FF0000"/>
          <w:sz w:val="20"/>
          <w:szCs w:val="20"/>
          <w:lang w:val="en-GB" w:eastAsia="ja-JP"/>
        </w:rPr>
        <w:t xml:space="preserve"> </w:t>
      </w:r>
      <w:r w:rsidRPr="00B26C28">
        <w:rPr>
          <w:rFonts w:ascii="Times New Roman" w:hAnsi="Times New Roman" w:cs="Times New Roman"/>
          <w:color w:val="FF0000"/>
          <w:sz w:val="20"/>
          <w:szCs w:val="20"/>
          <w:lang w:val="en-GB" w:eastAsia="ja-JP"/>
        </w:rPr>
        <w:t>3,</w:t>
      </w:r>
      <w:r w:rsidR="005C60ED">
        <w:rPr>
          <w:rFonts w:ascii="Times New Roman" w:hAnsi="Times New Roman" w:cs="Times New Roman"/>
          <w:color w:val="FF0000"/>
          <w:sz w:val="20"/>
          <w:szCs w:val="20"/>
          <w:lang w:val="en-GB" w:eastAsia="ja-JP"/>
        </w:rPr>
        <w:t xml:space="preserve"> </w:t>
      </w:r>
      <w:r w:rsidRPr="00B26C28">
        <w:rPr>
          <w:rFonts w:ascii="Times New Roman" w:hAnsi="Times New Roman" w:cs="Times New Roman"/>
          <w:color w:val="FF0000"/>
          <w:sz w:val="20"/>
          <w:szCs w:val="20"/>
          <w:lang w:val="en-GB" w:eastAsia="ja-JP"/>
        </w:rPr>
        <w:t>…,</w:t>
      </w:r>
      <w:r w:rsidR="005C60ED">
        <w:rPr>
          <w:rFonts w:ascii="Times New Roman" w:hAnsi="Times New Roman" w:cs="Times New Roman"/>
          <w:color w:val="FF0000"/>
          <w:sz w:val="20"/>
          <w:szCs w:val="20"/>
          <w:lang w:val="en-GB" w:eastAsia="ja-JP"/>
        </w:rPr>
        <w:t xml:space="preserve"> </w:t>
      </w:r>
      <w:r w:rsidRPr="00B26C28">
        <w:rPr>
          <w:rFonts w:ascii="Times New Roman" w:hAnsi="Times New Roman" w:cs="Times New Roman"/>
          <w:sz w:val="20"/>
          <w:szCs w:val="20"/>
          <w:lang w:val="en-GB" w:eastAsia="ja-JP"/>
        </w:rPr>
        <w:t xml:space="preserve">80, </w:t>
      </w:r>
      <w:r w:rsidRPr="00B26C28">
        <w:rPr>
          <w:rFonts w:ascii="Times New Roman" w:hAnsi="Times New Roman" w:cs="Times New Roman"/>
          <w:color w:val="FF0000"/>
          <w:sz w:val="20"/>
          <w:szCs w:val="20"/>
          <w:lang w:val="en-GB" w:eastAsia="ja-JP"/>
        </w:rPr>
        <w:t xml:space="preserve">120, </w:t>
      </w:r>
      <w:r w:rsidRPr="00B26C28">
        <w:rPr>
          <w:rFonts w:ascii="Times New Roman" w:hAnsi="Times New Roman" w:cs="Times New Roman"/>
          <w:sz w:val="20"/>
          <w:szCs w:val="20"/>
          <w:lang w:val="en-GB" w:eastAsia="ja-JP"/>
        </w:rPr>
        <w:t xml:space="preserve">160, </w:t>
      </w:r>
      <w:r w:rsidRPr="00B26C28">
        <w:rPr>
          <w:rFonts w:ascii="Times New Roman" w:hAnsi="Times New Roman" w:cs="Times New Roman"/>
          <w:color w:val="FF0000"/>
          <w:sz w:val="20"/>
          <w:szCs w:val="20"/>
          <w:lang w:val="en-GB" w:eastAsia="ja-JP"/>
        </w:rPr>
        <w:t>200,</w:t>
      </w:r>
      <w:r w:rsidRPr="00B26C28">
        <w:rPr>
          <w:rFonts w:ascii="Times New Roman" w:hAnsi="Times New Roman" w:cs="Times New Roman"/>
          <w:sz w:val="20"/>
          <w:szCs w:val="20"/>
          <w:lang w:val="en-GB" w:eastAsia="ja-JP"/>
        </w:rPr>
        <w:t xml:space="preserve"> 240, 320,400} for 60kHz SCS,</w:t>
      </w:r>
    </w:p>
    <w:p w14:paraId="308A9F52" w14:textId="5977945A" w:rsidR="00B26C28" w:rsidRPr="00B26C28" w:rsidRDefault="00B26C28" w:rsidP="00B26C28">
      <w:pPr>
        <w:pStyle w:val="ListParagraph"/>
        <w:numPr>
          <w:ilvl w:val="1"/>
          <w:numId w:val="55"/>
        </w:numPr>
        <w:spacing w:line="276" w:lineRule="auto"/>
        <w:ind w:left="1276" w:hanging="425"/>
        <w:rPr>
          <w:rFonts w:ascii="Times New Roman" w:hAnsi="Times New Roman" w:cs="Times New Roman"/>
          <w:sz w:val="20"/>
          <w:szCs w:val="20"/>
          <w:lang w:val="en-GB" w:eastAsia="ja-JP"/>
        </w:rPr>
      </w:pPr>
      <w:r w:rsidRPr="00B26C28">
        <w:rPr>
          <w:rFonts w:ascii="Times New Roman" w:hAnsi="Times New Roman" w:cs="Times New Roman"/>
          <w:sz w:val="20"/>
          <w:szCs w:val="20"/>
          <w:lang w:val="en-GB" w:eastAsia="ja-JP"/>
        </w:rPr>
        <w:t>{1,</w:t>
      </w:r>
      <w:r w:rsidR="005C60ED">
        <w:rPr>
          <w:rFonts w:ascii="Times New Roman" w:hAnsi="Times New Roman" w:cs="Times New Roman"/>
          <w:sz w:val="20"/>
          <w:szCs w:val="20"/>
          <w:lang w:val="en-GB" w:eastAsia="ja-JP"/>
        </w:rPr>
        <w:t xml:space="preserve"> </w:t>
      </w:r>
      <w:r w:rsidRPr="00B26C28">
        <w:rPr>
          <w:rFonts w:ascii="Times New Roman" w:hAnsi="Times New Roman" w:cs="Times New Roman"/>
          <w:color w:val="FF0000"/>
          <w:sz w:val="20"/>
          <w:szCs w:val="20"/>
          <w:lang w:val="en-GB" w:eastAsia="ja-JP"/>
        </w:rPr>
        <w:t>2,</w:t>
      </w:r>
      <w:r w:rsidR="005C60ED">
        <w:rPr>
          <w:rFonts w:ascii="Times New Roman" w:hAnsi="Times New Roman" w:cs="Times New Roman"/>
          <w:color w:val="FF0000"/>
          <w:sz w:val="20"/>
          <w:szCs w:val="20"/>
          <w:lang w:val="en-GB" w:eastAsia="ja-JP"/>
        </w:rPr>
        <w:t xml:space="preserve"> </w:t>
      </w:r>
      <w:r w:rsidRPr="00B26C28">
        <w:rPr>
          <w:rFonts w:ascii="Times New Roman" w:hAnsi="Times New Roman" w:cs="Times New Roman"/>
          <w:color w:val="FF0000"/>
          <w:sz w:val="20"/>
          <w:szCs w:val="20"/>
          <w:lang w:val="en-GB" w:eastAsia="ja-JP"/>
        </w:rPr>
        <w:t>3,</w:t>
      </w:r>
      <w:r w:rsidR="005C60ED">
        <w:rPr>
          <w:rFonts w:ascii="Times New Roman" w:hAnsi="Times New Roman" w:cs="Times New Roman"/>
          <w:color w:val="FF0000"/>
          <w:sz w:val="20"/>
          <w:szCs w:val="20"/>
          <w:lang w:val="en-GB" w:eastAsia="ja-JP"/>
        </w:rPr>
        <w:t xml:space="preserve"> </w:t>
      </w:r>
      <w:r w:rsidRPr="00B26C28">
        <w:rPr>
          <w:rFonts w:ascii="Times New Roman" w:hAnsi="Times New Roman" w:cs="Times New Roman"/>
          <w:color w:val="FF0000"/>
          <w:sz w:val="20"/>
          <w:szCs w:val="20"/>
          <w:lang w:val="en-GB" w:eastAsia="ja-JP"/>
        </w:rPr>
        <w:t>…,</w:t>
      </w:r>
      <w:r w:rsidR="005C60ED">
        <w:rPr>
          <w:rFonts w:ascii="Times New Roman" w:hAnsi="Times New Roman" w:cs="Times New Roman"/>
          <w:color w:val="FF0000"/>
          <w:sz w:val="20"/>
          <w:szCs w:val="20"/>
          <w:lang w:val="en-GB" w:eastAsia="ja-JP"/>
        </w:rPr>
        <w:t xml:space="preserve"> </w:t>
      </w:r>
      <w:r w:rsidRPr="00B26C28">
        <w:rPr>
          <w:rFonts w:ascii="Times New Roman" w:hAnsi="Times New Roman" w:cs="Times New Roman"/>
          <w:sz w:val="20"/>
          <w:szCs w:val="20"/>
          <w:lang w:val="en-GB" w:eastAsia="ja-JP"/>
        </w:rPr>
        <w:t xml:space="preserve">160, </w:t>
      </w:r>
      <w:r w:rsidRPr="00B26C28">
        <w:rPr>
          <w:rFonts w:ascii="Times New Roman" w:hAnsi="Times New Roman" w:cs="Times New Roman"/>
          <w:color w:val="FF0000"/>
          <w:sz w:val="20"/>
          <w:szCs w:val="20"/>
          <w:lang w:val="en-GB" w:eastAsia="ja-JP"/>
        </w:rPr>
        <w:t xml:space="preserve">240, </w:t>
      </w:r>
      <w:r w:rsidRPr="00B26C28">
        <w:rPr>
          <w:rFonts w:ascii="Times New Roman" w:hAnsi="Times New Roman" w:cs="Times New Roman"/>
          <w:sz w:val="20"/>
          <w:szCs w:val="20"/>
          <w:lang w:val="en-GB" w:eastAsia="ja-JP"/>
        </w:rPr>
        <w:t>320,</w:t>
      </w:r>
      <w:r w:rsidR="004C7C06">
        <w:rPr>
          <w:rFonts w:ascii="Times New Roman" w:hAnsi="Times New Roman" w:cs="Times New Roman"/>
          <w:sz w:val="20"/>
          <w:szCs w:val="20"/>
          <w:lang w:val="en-GB" w:eastAsia="ja-JP"/>
        </w:rPr>
        <w:t xml:space="preserve"> </w:t>
      </w:r>
      <w:r w:rsidRPr="004C7C06">
        <w:rPr>
          <w:rFonts w:ascii="Times New Roman" w:hAnsi="Times New Roman" w:cs="Times New Roman"/>
          <w:color w:val="FF0000"/>
          <w:sz w:val="20"/>
          <w:szCs w:val="20"/>
          <w:lang w:val="en-GB" w:eastAsia="ja-JP"/>
        </w:rPr>
        <w:t>400,</w:t>
      </w:r>
      <w:r w:rsidRPr="00B26C28">
        <w:rPr>
          <w:rFonts w:ascii="Times New Roman" w:hAnsi="Times New Roman" w:cs="Times New Roman"/>
          <w:sz w:val="20"/>
          <w:szCs w:val="20"/>
          <w:lang w:val="en-GB" w:eastAsia="ja-JP"/>
        </w:rPr>
        <w:t xml:space="preserve"> 480, 640,800} for 120kHz SCS</w:t>
      </w:r>
    </w:p>
    <w:p w14:paraId="1632FF6E" w14:textId="77777777" w:rsidR="00B26C28" w:rsidRPr="00B26C28" w:rsidRDefault="00B26C28" w:rsidP="00B26C28">
      <w:pPr>
        <w:spacing w:line="276" w:lineRule="auto"/>
        <w:rPr>
          <w:rFonts w:ascii="Times New Roman" w:hAnsi="Times New Roman" w:cs="Times New Roman"/>
          <w:sz w:val="20"/>
          <w:szCs w:val="20"/>
          <w:lang w:val="en-GB" w:eastAsia="ja-JP"/>
        </w:rPr>
      </w:pPr>
    </w:p>
    <w:p w14:paraId="3D7DE52B" w14:textId="77777777" w:rsidR="00B26C28" w:rsidRPr="00B26C28" w:rsidRDefault="00B26C28" w:rsidP="00724DFE">
      <w:pPr>
        <w:spacing w:after="0" w:line="276" w:lineRule="auto"/>
        <w:rPr>
          <w:rFonts w:ascii="Times New Roman" w:hAnsi="Times New Roman" w:cs="Times New Roman"/>
          <w:sz w:val="20"/>
          <w:szCs w:val="20"/>
          <w:lang w:val="en-GB" w:eastAsia="ja-JP"/>
        </w:rPr>
      </w:pPr>
      <w:r w:rsidRPr="00724DFE">
        <w:rPr>
          <w:rFonts w:ascii="Times New Roman" w:hAnsi="Times New Roman" w:cs="Times New Roman"/>
          <w:sz w:val="20"/>
          <w:szCs w:val="20"/>
          <w:highlight w:val="green"/>
          <w:lang w:val="en-GB" w:eastAsia="ja-JP"/>
        </w:rPr>
        <w:t>Agreement</w:t>
      </w:r>
    </w:p>
    <w:p w14:paraId="6037C0D1" w14:textId="77777777" w:rsidR="00724DFE" w:rsidRDefault="00B26C28" w:rsidP="00B26C28">
      <w:pPr>
        <w:pStyle w:val="ListParagraph"/>
        <w:numPr>
          <w:ilvl w:val="0"/>
          <w:numId w:val="55"/>
        </w:numPr>
        <w:spacing w:line="276" w:lineRule="auto"/>
        <w:ind w:left="426" w:hanging="426"/>
        <w:rPr>
          <w:rFonts w:ascii="Times New Roman" w:hAnsi="Times New Roman" w:cs="Times New Roman"/>
          <w:sz w:val="20"/>
          <w:szCs w:val="20"/>
          <w:lang w:val="en-GB" w:eastAsia="ja-JP"/>
        </w:rPr>
      </w:pPr>
      <w:r w:rsidRPr="00724DFE">
        <w:rPr>
          <w:rFonts w:ascii="Times New Roman" w:hAnsi="Times New Roman" w:cs="Times New Roman"/>
          <w:sz w:val="20"/>
          <w:szCs w:val="20"/>
          <w:lang w:val="en-GB" w:eastAsia="ja-JP"/>
        </w:rPr>
        <w:t xml:space="preserve">For Case 4 (i.e., 2 SSSG switching with PDCCH skipping), </w:t>
      </w:r>
      <w:r w:rsidRPr="00724DFE">
        <w:rPr>
          <w:rFonts w:ascii="Times New Roman" w:hAnsi="Times New Roman" w:cs="Times New Roman"/>
          <w:sz w:val="20"/>
          <w:szCs w:val="20"/>
          <w:highlight w:val="red"/>
          <w:lang w:val="en-GB" w:eastAsia="ja-JP"/>
        </w:rPr>
        <w:t>one</w:t>
      </w:r>
      <w:r w:rsidRPr="00724DFE">
        <w:rPr>
          <w:rFonts w:ascii="Times New Roman" w:hAnsi="Times New Roman" w:cs="Times New Roman"/>
          <w:sz w:val="20"/>
          <w:szCs w:val="20"/>
          <w:lang w:val="en-GB" w:eastAsia="ja-JP"/>
        </w:rPr>
        <w:t xml:space="preserve"> of the following is supported</w:t>
      </w:r>
    </w:p>
    <w:p w14:paraId="7347B2CE" w14:textId="77777777" w:rsidR="00187B04" w:rsidRDefault="00B26C28" w:rsidP="00187B04">
      <w:pPr>
        <w:pStyle w:val="ListParagraph"/>
        <w:numPr>
          <w:ilvl w:val="1"/>
          <w:numId w:val="55"/>
        </w:numPr>
        <w:spacing w:line="276" w:lineRule="auto"/>
        <w:ind w:left="1276" w:hanging="425"/>
        <w:rPr>
          <w:rFonts w:ascii="Times New Roman" w:hAnsi="Times New Roman" w:cs="Times New Roman"/>
          <w:sz w:val="20"/>
          <w:szCs w:val="20"/>
          <w:lang w:val="en-GB" w:eastAsia="ja-JP"/>
        </w:rPr>
      </w:pPr>
      <w:r w:rsidRPr="00D4019C">
        <w:rPr>
          <w:rFonts w:ascii="Times New Roman" w:hAnsi="Times New Roman" w:cs="Times New Roman"/>
          <w:color w:val="FF0000"/>
          <w:sz w:val="20"/>
          <w:szCs w:val="20"/>
          <w:lang w:val="en-GB" w:eastAsia="ja-JP"/>
        </w:rPr>
        <w:t>Alt a:</w:t>
      </w:r>
      <w:r w:rsidRPr="00724DFE">
        <w:rPr>
          <w:rFonts w:ascii="Times New Roman" w:hAnsi="Times New Roman" w:cs="Times New Roman"/>
          <w:sz w:val="20"/>
          <w:szCs w:val="20"/>
          <w:lang w:val="en-GB" w:eastAsia="ja-JP"/>
        </w:rPr>
        <w:t xml:space="preserve"> 2-bit in scheduling DCI is supported to indicate PDCCH monitoring adaptation UE behaviors</w:t>
      </w:r>
    </w:p>
    <w:p w14:paraId="28DA1C48" w14:textId="77777777" w:rsidR="00187B04" w:rsidRDefault="00B26C28" w:rsidP="00187B04">
      <w:pPr>
        <w:pStyle w:val="ListParagraph"/>
        <w:numPr>
          <w:ilvl w:val="2"/>
          <w:numId w:val="55"/>
        </w:numPr>
        <w:spacing w:line="276" w:lineRule="auto"/>
        <w:ind w:left="2127" w:hanging="426"/>
        <w:rPr>
          <w:rFonts w:ascii="Times New Roman" w:hAnsi="Times New Roman" w:cs="Times New Roman"/>
          <w:sz w:val="20"/>
          <w:szCs w:val="20"/>
          <w:lang w:val="en-GB" w:eastAsia="ja-JP"/>
        </w:rPr>
      </w:pPr>
      <w:r w:rsidRPr="00187B04">
        <w:rPr>
          <w:rFonts w:ascii="Times New Roman" w:hAnsi="Times New Roman" w:cs="Times New Roman"/>
          <w:sz w:val="20"/>
          <w:szCs w:val="20"/>
          <w:lang w:val="en-GB" w:eastAsia="ja-JP"/>
        </w:rPr>
        <w:t xml:space="preserve">If M = 1, then </w:t>
      </w:r>
    </w:p>
    <w:p w14:paraId="528A0635" w14:textId="77777777" w:rsidR="00187B04" w:rsidRDefault="00B26C28" w:rsidP="00B26C28">
      <w:pPr>
        <w:pStyle w:val="ListParagraph"/>
        <w:numPr>
          <w:ilvl w:val="3"/>
          <w:numId w:val="55"/>
        </w:numPr>
        <w:spacing w:line="276" w:lineRule="auto"/>
        <w:rPr>
          <w:rFonts w:ascii="Times New Roman" w:hAnsi="Times New Roman" w:cs="Times New Roman"/>
          <w:sz w:val="20"/>
          <w:szCs w:val="20"/>
          <w:lang w:val="en-GB" w:eastAsia="ja-JP"/>
        </w:rPr>
      </w:pPr>
      <w:r w:rsidRPr="00187B04">
        <w:rPr>
          <w:rFonts w:ascii="Times New Roman" w:hAnsi="Times New Roman" w:cs="Times New Roman"/>
          <w:sz w:val="20"/>
          <w:szCs w:val="20"/>
          <w:lang w:val="en-GB" w:eastAsia="ja-JP"/>
        </w:rPr>
        <w:t xml:space="preserve">‘00’ is Beh 2 </w:t>
      </w:r>
    </w:p>
    <w:p w14:paraId="4D343C1C" w14:textId="77777777" w:rsidR="00187B04" w:rsidRDefault="00B26C28" w:rsidP="00B26C28">
      <w:pPr>
        <w:pStyle w:val="ListParagraph"/>
        <w:numPr>
          <w:ilvl w:val="3"/>
          <w:numId w:val="55"/>
        </w:numPr>
        <w:spacing w:line="276" w:lineRule="auto"/>
        <w:rPr>
          <w:rFonts w:ascii="Times New Roman" w:hAnsi="Times New Roman" w:cs="Times New Roman"/>
          <w:sz w:val="20"/>
          <w:szCs w:val="20"/>
          <w:lang w:val="en-GB" w:eastAsia="ja-JP"/>
        </w:rPr>
      </w:pPr>
      <w:r w:rsidRPr="00187B04">
        <w:rPr>
          <w:rFonts w:ascii="Times New Roman" w:hAnsi="Times New Roman" w:cs="Times New Roman"/>
          <w:sz w:val="20"/>
          <w:szCs w:val="20"/>
          <w:lang w:val="en-GB" w:eastAsia="ja-JP"/>
        </w:rPr>
        <w:t xml:space="preserve">‘01’ is Beh 2A </w:t>
      </w:r>
    </w:p>
    <w:p w14:paraId="6A022020" w14:textId="77777777" w:rsidR="00187B04" w:rsidRDefault="00B26C28" w:rsidP="00B26C28">
      <w:pPr>
        <w:pStyle w:val="ListParagraph"/>
        <w:numPr>
          <w:ilvl w:val="3"/>
          <w:numId w:val="55"/>
        </w:numPr>
        <w:spacing w:line="276" w:lineRule="auto"/>
        <w:rPr>
          <w:rFonts w:ascii="Times New Roman" w:hAnsi="Times New Roman" w:cs="Times New Roman"/>
          <w:sz w:val="20"/>
          <w:szCs w:val="20"/>
          <w:lang w:val="en-GB" w:eastAsia="ja-JP"/>
        </w:rPr>
      </w:pPr>
      <w:r w:rsidRPr="00187B04">
        <w:rPr>
          <w:rFonts w:ascii="Times New Roman" w:hAnsi="Times New Roman" w:cs="Times New Roman"/>
          <w:sz w:val="20"/>
          <w:szCs w:val="20"/>
          <w:lang w:val="en-GB" w:eastAsia="ja-JP"/>
        </w:rPr>
        <w:t xml:space="preserve">‘10’ is Beh 1A </w:t>
      </w:r>
      <w:r w:rsidRPr="00D4019C">
        <w:rPr>
          <w:rFonts w:ascii="Times New Roman" w:hAnsi="Times New Roman" w:cs="Times New Roman"/>
          <w:strike/>
          <w:color w:val="FF0000"/>
          <w:sz w:val="20"/>
          <w:szCs w:val="20"/>
          <w:lang w:val="en-GB" w:eastAsia="ja-JP"/>
        </w:rPr>
        <w:t>(stay in current SSSG)</w:t>
      </w:r>
    </w:p>
    <w:p w14:paraId="11FAFC2B" w14:textId="77777777" w:rsidR="00187B04" w:rsidRDefault="00B26C28" w:rsidP="00B26C28">
      <w:pPr>
        <w:pStyle w:val="ListParagraph"/>
        <w:numPr>
          <w:ilvl w:val="3"/>
          <w:numId w:val="55"/>
        </w:numPr>
        <w:spacing w:line="276" w:lineRule="auto"/>
        <w:rPr>
          <w:rFonts w:ascii="Times New Roman" w:hAnsi="Times New Roman" w:cs="Times New Roman"/>
          <w:sz w:val="20"/>
          <w:szCs w:val="20"/>
          <w:lang w:val="en-GB" w:eastAsia="ja-JP"/>
        </w:rPr>
      </w:pPr>
      <w:r w:rsidRPr="00187B04">
        <w:rPr>
          <w:rFonts w:ascii="Times New Roman" w:hAnsi="Times New Roman" w:cs="Times New Roman"/>
          <w:sz w:val="20"/>
          <w:szCs w:val="20"/>
          <w:lang w:val="en-GB" w:eastAsia="ja-JP"/>
        </w:rPr>
        <w:t>[‘11’ is reserved]</w:t>
      </w:r>
    </w:p>
    <w:p w14:paraId="67A75074" w14:textId="77777777" w:rsidR="00187B04" w:rsidRDefault="00B26C28" w:rsidP="00B26C28">
      <w:pPr>
        <w:pStyle w:val="ListParagraph"/>
        <w:numPr>
          <w:ilvl w:val="2"/>
          <w:numId w:val="55"/>
        </w:numPr>
        <w:spacing w:line="276" w:lineRule="auto"/>
        <w:ind w:hanging="459"/>
        <w:rPr>
          <w:rFonts w:ascii="Times New Roman" w:hAnsi="Times New Roman" w:cs="Times New Roman"/>
          <w:sz w:val="20"/>
          <w:szCs w:val="20"/>
          <w:lang w:val="en-GB" w:eastAsia="ja-JP"/>
        </w:rPr>
      </w:pPr>
      <w:r w:rsidRPr="00187B04">
        <w:rPr>
          <w:rFonts w:ascii="Times New Roman" w:hAnsi="Times New Roman" w:cs="Times New Roman"/>
          <w:sz w:val="20"/>
          <w:szCs w:val="20"/>
          <w:lang w:val="en-GB" w:eastAsia="ja-JP"/>
        </w:rPr>
        <w:t xml:space="preserve">If M = 2, then </w:t>
      </w:r>
    </w:p>
    <w:p w14:paraId="257022EC" w14:textId="77777777" w:rsidR="00187B04" w:rsidRDefault="00B26C28" w:rsidP="00B26C28">
      <w:pPr>
        <w:pStyle w:val="ListParagraph"/>
        <w:numPr>
          <w:ilvl w:val="3"/>
          <w:numId w:val="55"/>
        </w:numPr>
        <w:spacing w:line="276" w:lineRule="auto"/>
        <w:rPr>
          <w:rFonts w:ascii="Times New Roman" w:hAnsi="Times New Roman" w:cs="Times New Roman"/>
          <w:sz w:val="20"/>
          <w:szCs w:val="20"/>
          <w:lang w:val="en-GB" w:eastAsia="ja-JP"/>
        </w:rPr>
      </w:pPr>
      <w:r w:rsidRPr="00187B04">
        <w:rPr>
          <w:rFonts w:ascii="Times New Roman" w:hAnsi="Times New Roman" w:cs="Times New Roman"/>
          <w:sz w:val="20"/>
          <w:szCs w:val="20"/>
          <w:lang w:val="en-GB" w:eastAsia="ja-JP"/>
        </w:rPr>
        <w:t>‘00’ is Beh 2</w:t>
      </w:r>
    </w:p>
    <w:p w14:paraId="3B9EE7F2" w14:textId="77777777" w:rsidR="00187B04" w:rsidRDefault="00B26C28" w:rsidP="00B26C28">
      <w:pPr>
        <w:pStyle w:val="ListParagraph"/>
        <w:numPr>
          <w:ilvl w:val="3"/>
          <w:numId w:val="55"/>
        </w:numPr>
        <w:spacing w:line="276" w:lineRule="auto"/>
        <w:rPr>
          <w:rFonts w:ascii="Times New Roman" w:hAnsi="Times New Roman" w:cs="Times New Roman"/>
          <w:sz w:val="20"/>
          <w:szCs w:val="20"/>
          <w:lang w:val="en-GB" w:eastAsia="ja-JP"/>
        </w:rPr>
      </w:pPr>
      <w:r w:rsidRPr="00187B04">
        <w:rPr>
          <w:rFonts w:ascii="Times New Roman" w:hAnsi="Times New Roman" w:cs="Times New Roman"/>
          <w:sz w:val="20"/>
          <w:szCs w:val="20"/>
          <w:lang w:val="en-GB" w:eastAsia="ja-JP"/>
        </w:rPr>
        <w:t xml:space="preserve">‘01’ is Beh 2A </w:t>
      </w:r>
    </w:p>
    <w:p w14:paraId="1AE5FC32" w14:textId="77777777" w:rsidR="00187B04" w:rsidRDefault="00B26C28" w:rsidP="00B26C28">
      <w:pPr>
        <w:pStyle w:val="ListParagraph"/>
        <w:numPr>
          <w:ilvl w:val="3"/>
          <w:numId w:val="55"/>
        </w:numPr>
        <w:spacing w:line="276" w:lineRule="auto"/>
        <w:rPr>
          <w:rFonts w:ascii="Times New Roman" w:hAnsi="Times New Roman" w:cs="Times New Roman"/>
          <w:sz w:val="20"/>
          <w:szCs w:val="20"/>
          <w:lang w:val="en-GB" w:eastAsia="ja-JP"/>
        </w:rPr>
      </w:pPr>
      <w:r w:rsidRPr="00187B04">
        <w:rPr>
          <w:rFonts w:ascii="Times New Roman" w:hAnsi="Times New Roman" w:cs="Times New Roman"/>
          <w:sz w:val="20"/>
          <w:szCs w:val="20"/>
          <w:lang w:val="en-GB" w:eastAsia="ja-JP"/>
        </w:rPr>
        <w:t xml:space="preserve">‘10’ is Beh 1A for duration T1 </w:t>
      </w:r>
      <w:r w:rsidRPr="00D4019C">
        <w:rPr>
          <w:rFonts w:ascii="Times New Roman" w:hAnsi="Times New Roman" w:cs="Times New Roman"/>
          <w:strike/>
          <w:color w:val="FF0000"/>
          <w:sz w:val="20"/>
          <w:szCs w:val="20"/>
          <w:lang w:val="en-GB" w:eastAsia="ja-JP"/>
        </w:rPr>
        <w:t>(stay in current SSSG)</w:t>
      </w:r>
    </w:p>
    <w:p w14:paraId="6D1807E4" w14:textId="77777777" w:rsidR="00D4019C" w:rsidRPr="00D4019C" w:rsidRDefault="00B26C28" w:rsidP="00B26C28">
      <w:pPr>
        <w:pStyle w:val="ListParagraph"/>
        <w:numPr>
          <w:ilvl w:val="3"/>
          <w:numId w:val="55"/>
        </w:numPr>
        <w:spacing w:line="276" w:lineRule="auto"/>
        <w:rPr>
          <w:rFonts w:ascii="Times New Roman" w:hAnsi="Times New Roman" w:cs="Times New Roman"/>
          <w:sz w:val="20"/>
          <w:szCs w:val="20"/>
          <w:lang w:val="en-GB" w:eastAsia="ja-JP"/>
        </w:rPr>
      </w:pPr>
      <w:r w:rsidRPr="00187B04">
        <w:rPr>
          <w:rFonts w:ascii="Times New Roman" w:hAnsi="Times New Roman" w:cs="Times New Roman"/>
          <w:sz w:val="20"/>
          <w:szCs w:val="20"/>
          <w:lang w:val="en-GB" w:eastAsia="ja-JP"/>
        </w:rPr>
        <w:t xml:space="preserve">‘11’ is Beh 1A for duration T2 </w:t>
      </w:r>
      <w:r w:rsidRPr="00D4019C">
        <w:rPr>
          <w:rFonts w:ascii="Times New Roman" w:hAnsi="Times New Roman" w:cs="Times New Roman"/>
          <w:strike/>
          <w:color w:val="FF0000"/>
          <w:sz w:val="20"/>
          <w:szCs w:val="20"/>
          <w:lang w:val="en-GB" w:eastAsia="ja-JP"/>
        </w:rPr>
        <w:t>(stay in current SSSG)</w:t>
      </w:r>
    </w:p>
    <w:p w14:paraId="36848FE3" w14:textId="77777777" w:rsidR="00D4019C" w:rsidRDefault="00B26C28" w:rsidP="00B26C28">
      <w:pPr>
        <w:pStyle w:val="ListParagraph"/>
        <w:numPr>
          <w:ilvl w:val="0"/>
          <w:numId w:val="55"/>
        </w:numPr>
        <w:spacing w:line="276" w:lineRule="auto"/>
        <w:ind w:left="426" w:hanging="426"/>
        <w:rPr>
          <w:rFonts w:ascii="Times New Roman" w:hAnsi="Times New Roman" w:cs="Times New Roman"/>
          <w:sz w:val="20"/>
          <w:szCs w:val="20"/>
          <w:lang w:val="en-GB" w:eastAsia="ja-JP"/>
        </w:rPr>
      </w:pPr>
      <w:r w:rsidRPr="00D4019C">
        <w:rPr>
          <w:rFonts w:ascii="Times New Roman" w:hAnsi="Times New Roman" w:cs="Times New Roman"/>
          <w:sz w:val="20"/>
          <w:szCs w:val="20"/>
          <w:lang w:val="en-GB" w:eastAsia="ja-JP"/>
        </w:rPr>
        <w:lastRenderedPageBreak/>
        <w:t>Note: for ‘00’ and ‘01’, UE performs Beh 1(i.e., does not perform PDCCH skipping)</w:t>
      </w:r>
    </w:p>
    <w:p w14:paraId="7EA65F87" w14:textId="77777777" w:rsidR="00D4019C" w:rsidRDefault="00B26C28" w:rsidP="00B26C28">
      <w:pPr>
        <w:pStyle w:val="ListParagraph"/>
        <w:numPr>
          <w:ilvl w:val="0"/>
          <w:numId w:val="55"/>
        </w:numPr>
        <w:spacing w:line="276" w:lineRule="auto"/>
        <w:ind w:left="426" w:hanging="426"/>
        <w:rPr>
          <w:rFonts w:ascii="Times New Roman" w:hAnsi="Times New Roman" w:cs="Times New Roman"/>
          <w:sz w:val="20"/>
          <w:szCs w:val="20"/>
          <w:lang w:val="en-GB" w:eastAsia="ja-JP"/>
        </w:rPr>
      </w:pPr>
      <w:r w:rsidRPr="00D4019C">
        <w:rPr>
          <w:rFonts w:ascii="Times New Roman" w:hAnsi="Times New Roman" w:cs="Times New Roman"/>
          <w:sz w:val="20"/>
          <w:szCs w:val="20"/>
          <w:lang w:val="en-GB" w:eastAsia="ja-JP"/>
        </w:rPr>
        <w:t>Note: By a single DCI indication, a UE is not expected to simultaneously perform two behaviors of SSSG switching and PDCCH skipping.</w:t>
      </w:r>
    </w:p>
    <w:p w14:paraId="559FBF28" w14:textId="59ED4614" w:rsidR="00B26C28" w:rsidRPr="00D4019C" w:rsidRDefault="00B26C28" w:rsidP="00B26C28">
      <w:pPr>
        <w:pStyle w:val="ListParagraph"/>
        <w:numPr>
          <w:ilvl w:val="0"/>
          <w:numId w:val="55"/>
        </w:numPr>
        <w:spacing w:line="276" w:lineRule="auto"/>
        <w:ind w:left="426" w:hanging="426"/>
        <w:rPr>
          <w:rFonts w:ascii="Times New Roman" w:hAnsi="Times New Roman" w:cs="Times New Roman"/>
          <w:sz w:val="20"/>
          <w:szCs w:val="20"/>
          <w:lang w:val="en-GB" w:eastAsia="ja-JP"/>
        </w:rPr>
      </w:pPr>
      <w:r w:rsidRPr="00D4019C">
        <w:rPr>
          <w:rFonts w:ascii="Times New Roman" w:hAnsi="Times New Roman" w:cs="Times New Roman"/>
          <w:sz w:val="20"/>
          <w:szCs w:val="20"/>
          <w:lang w:val="en-GB" w:eastAsia="ja-JP"/>
        </w:rPr>
        <w:t xml:space="preserve">FFS SSSG switching timer behavior, and timer value related to the value of T1/T2 </w:t>
      </w:r>
    </w:p>
    <w:p w14:paraId="6C753F6A" w14:textId="77777777" w:rsidR="00B26C28" w:rsidRPr="00B26C28" w:rsidRDefault="00B26C28" w:rsidP="00B26C28">
      <w:pPr>
        <w:spacing w:line="276" w:lineRule="auto"/>
        <w:rPr>
          <w:rFonts w:ascii="Times New Roman" w:hAnsi="Times New Roman" w:cs="Times New Roman"/>
          <w:sz w:val="20"/>
          <w:szCs w:val="20"/>
          <w:lang w:val="en-GB" w:eastAsia="ja-JP"/>
        </w:rPr>
      </w:pPr>
    </w:p>
    <w:p w14:paraId="690EB633" w14:textId="77777777" w:rsidR="00B26C28" w:rsidRPr="00B26C28" w:rsidRDefault="00B26C28" w:rsidP="004B4ED5">
      <w:pPr>
        <w:spacing w:after="0" w:line="276" w:lineRule="auto"/>
        <w:rPr>
          <w:rFonts w:ascii="Times New Roman" w:hAnsi="Times New Roman" w:cs="Times New Roman"/>
          <w:sz w:val="20"/>
          <w:szCs w:val="20"/>
          <w:lang w:val="en-GB" w:eastAsia="ja-JP"/>
        </w:rPr>
      </w:pPr>
      <w:r w:rsidRPr="004B4ED5">
        <w:rPr>
          <w:rFonts w:ascii="Times New Roman" w:hAnsi="Times New Roman" w:cs="Times New Roman"/>
          <w:sz w:val="20"/>
          <w:szCs w:val="20"/>
          <w:highlight w:val="green"/>
          <w:lang w:val="en-GB" w:eastAsia="ja-JP"/>
        </w:rPr>
        <w:t>Agreement</w:t>
      </w:r>
    </w:p>
    <w:p w14:paraId="4F36B3C6" w14:textId="77777777" w:rsidR="00794E1D" w:rsidRDefault="00B26C28" w:rsidP="00794E1D">
      <w:pPr>
        <w:spacing w:after="0" w:line="276" w:lineRule="auto"/>
        <w:rPr>
          <w:rFonts w:ascii="Times New Roman" w:hAnsi="Times New Roman" w:cs="Times New Roman"/>
          <w:sz w:val="20"/>
          <w:szCs w:val="20"/>
          <w:lang w:val="en-GB" w:eastAsia="ja-JP"/>
        </w:rPr>
      </w:pPr>
      <w:r w:rsidRPr="00B26C28">
        <w:rPr>
          <w:rFonts w:ascii="Times New Roman" w:hAnsi="Times New Roman" w:cs="Times New Roman"/>
          <w:sz w:val="20"/>
          <w:szCs w:val="20"/>
          <w:lang w:val="en-GB" w:eastAsia="ja-JP"/>
        </w:rPr>
        <w:t>If a UE is provided with a timer value by searchSpaceSwitchTimer-r17 for PDCCH monitoring on a serving cell and the timer is running, the UE</w:t>
      </w:r>
    </w:p>
    <w:p w14:paraId="1754D520" w14:textId="77777777" w:rsidR="00794E1D" w:rsidRDefault="00B26C28" w:rsidP="00B26C28">
      <w:pPr>
        <w:pStyle w:val="ListParagraph"/>
        <w:numPr>
          <w:ilvl w:val="0"/>
          <w:numId w:val="55"/>
        </w:numPr>
        <w:spacing w:line="276" w:lineRule="auto"/>
        <w:rPr>
          <w:rFonts w:ascii="Times New Roman" w:hAnsi="Times New Roman" w:cs="Times New Roman"/>
          <w:sz w:val="20"/>
          <w:szCs w:val="20"/>
          <w:lang w:val="en-GB" w:eastAsia="ja-JP"/>
        </w:rPr>
      </w:pPr>
      <w:r w:rsidRPr="00794E1D">
        <w:rPr>
          <w:rFonts w:ascii="Times New Roman" w:hAnsi="Times New Roman" w:cs="Times New Roman"/>
          <w:sz w:val="20"/>
          <w:szCs w:val="20"/>
          <w:lang w:val="en-GB" w:eastAsia="ja-JP"/>
        </w:rPr>
        <w:t>resets the timer after a slot of the active DL BWP of the serving cell when the UE detects a DCI format in a PDCCH reception in the slot</w:t>
      </w:r>
    </w:p>
    <w:p w14:paraId="5D214F95" w14:textId="77777777" w:rsidR="00794E1D" w:rsidRDefault="00B26C28" w:rsidP="00B26C28">
      <w:pPr>
        <w:pStyle w:val="ListParagraph"/>
        <w:numPr>
          <w:ilvl w:val="1"/>
          <w:numId w:val="55"/>
        </w:numPr>
        <w:spacing w:line="276" w:lineRule="auto"/>
        <w:rPr>
          <w:rFonts w:ascii="Times New Roman" w:hAnsi="Times New Roman" w:cs="Times New Roman"/>
          <w:sz w:val="20"/>
          <w:szCs w:val="20"/>
          <w:lang w:val="en-GB" w:eastAsia="ja-JP"/>
        </w:rPr>
      </w:pPr>
      <w:r w:rsidRPr="00794E1D">
        <w:rPr>
          <w:rFonts w:ascii="Times New Roman" w:hAnsi="Times New Roman" w:cs="Times New Roman"/>
          <w:sz w:val="20"/>
          <w:szCs w:val="20"/>
          <w:lang w:val="en-GB" w:eastAsia="ja-JP"/>
        </w:rPr>
        <w:t>Alt 2a: for the Type3-PDCCH CSS set or the USS set with group index of either 1 or 2</w:t>
      </w:r>
    </w:p>
    <w:p w14:paraId="68A71E35" w14:textId="77777777" w:rsidR="00794E1D" w:rsidRDefault="00B26C28" w:rsidP="00B26C28">
      <w:pPr>
        <w:pStyle w:val="ListParagraph"/>
        <w:numPr>
          <w:ilvl w:val="1"/>
          <w:numId w:val="55"/>
        </w:numPr>
        <w:spacing w:line="276" w:lineRule="auto"/>
        <w:rPr>
          <w:rFonts w:ascii="Times New Roman" w:hAnsi="Times New Roman" w:cs="Times New Roman"/>
          <w:sz w:val="20"/>
          <w:szCs w:val="20"/>
          <w:lang w:val="en-GB" w:eastAsia="ja-JP"/>
        </w:rPr>
      </w:pPr>
      <w:r w:rsidRPr="00794E1D">
        <w:rPr>
          <w:rFonts w:ascii="Times New Roman" w:hAnsi="Times New Roman" w:cs="Times New Roman"/>
          <w:sz w:val="20"/>
          <w:szCs w:val="20"/>
          <w:lang w:val="en-GB" w:eastAsia="ja-JP"/>
        </w:rPr>
        <w:t>Alt 2b: for the Type3-PDCCH CSS set or the USS set</w:t>
      </w:r>
    </w:p>
    <w:p w14:paraId="616C4BCC" w14:textId="77777777" w:rsidR="00794E1D" w:rsidRDefault="00B26C28" w:rsidP="00B26C28">
      <w:pPr>
        <w:pStyle w:val="ListParagraph"/>
        <w:numPr>
          <w:ilvl w:val="1"/>
          <w:numId w:val="55"/>
        </w:numPr>
        <w:spacing w:line="276" w:lineRule="auto"/>
        <w:rPr>
          <w:rFonts w:ascii="Times New Roman" w:hAnsi="Times New Roman" w:cs="Times New Roman"/>
          <w:sz w:val="20"/>
          <w:szCs w:val="20"/>
          <w:lang w:val="en-GB" w:eastAsia="ja-JP"/>
        </w:rPr>
      </w:pPr>
      <w:r w:rsidRPr="00794E1D">
        <w:rPr>
          <w:rFonts w:ascii="Times New Roman" w:hAnsi="Times New Roman" w:cs="Times New Roman"/>
          <w:sz w:val="20"/>
          <w:szCs w:val="20"/>
          <w:lang w:val="en-GB" w:eastAsia="ja-JP"/>
        </w:rPr>
        <w:t>Alt 2c: with CRC scrambled by C-RNTI/CS-RNTI/MCS-C-RNTI</w:t>
      </w:r>
    </w:p>
    <w:p w14:paraId="7834D79E" w14:textId="77777777" w:rsidR="00794E1D" w:rsidRDefault="00B26C28" w:rsidP="00B26C28">
      <w:pPr>
        <w:pStyle w:val="ListParagraph"/>
        <w:numPr>
          <w:ilvl w:val="0"/>
          <w:numId w:val="55"/>
        </w:numPr>
        <w:spacing w:line="276" w:lineRule="auto"/>
        <w:rPr>
          <w:rFonts w:ascii="Times New Roman" w:hAnsi="Times New Roman" w:cs="Times New Roman"/>
          <w:sz w:val="20"/>
          <w:szCs w:val="20"/>
          <w:lang w:val="en-GB" w:eastAsia="ja-JP"/>
        </w:rPr>
      </w:pPr>
      <w:r w:rsidRPr="00794E1D">
        <w:rPr>
          <w:rFonts w:ascii="Times New Roman" w:hAnsi="Times New Roman" w:cs="Times New Roman"/>
          <w:sz w:val="20"/>
          <w:szCs w:val="20"/>
          <w:lang w:val="en-GB" w:eastAsia="ja-JP"/>
        </w:rPr>
        <w:t>otherwise, decrease the timer value by one after each slot.</w:t>
      </w:r>
    </w:p>
    <w:p w14:paraId="63BE6AFD" w14:textId="7D2B10EA" w:rsidR="00B26C28" w:rsidRPr="00794E1D" w:rsidRDefault="00B26C28" w:rsidP="00B26C28">
      <w:pPr>
        <w:pStyle w:val="ListParagraph"/>
        <w:numPr>
          <w:ilvl w:val="0"/>
          <w:numId w:val="55"/>
        </w:numPr>
        <w:spacing w:line="276" w:lineRule="auto"/>
        <w:rPr>
          <w:rFonts w:ascii="Times New Roman" w:hAnsi="Times New Roman" w:cs="Times New Roman"/>
          <w:sz w:val="20"/>
          <w:szCs w:val="20"/>
          <w:lang w:val="en-GB" w:eastAsia="ja-JP"/>
        </w:rPr>
      </w:pPr>
      <w:r w:rsidRPr="00794E1D">
        <w:rPr>
          <w:rFonts w:ascii="Times New Roman" w:hAnsi="Times New Roman" w:cs="Times New Roman"/>
          <w:sz w:val="20"/>
          <w:szCs w:val="20"/>
          <w:lang w:val="en-GB" w:eastAsia="ja-JP"/>
        </w:rPr>
        <w:t>FFS: When the timer expires in a slot</w:t>
      </w:r>
    </w:p>
    <w:p w14:paraId="1B1B618D" w14:textId="77777777" w:rsidR="00B26C28" w:rsidRPr="00B26C28" w:rsidRDefault="00B26C28" w:rsidP="00B26C28">
      <w:pPr>
        <w:spacing w:line="276" w:lineRule="auto"/>
        <w:rPr>
          <w:rFonts w:ascii="Times New Roman" w:hAnsi="Times New Roman" w:cs="Times New Roman"/>
          <w:sz w:val="20"/>
          <w:szCs w:val="20"/>
          <w:lang w:val="en-GB" w:eastAsia="ja-JP"/>
        </w:rPr>
      </w:pPr>
    </w:p>
    <w:p w14:paraId="047A1872" w14:textId="77777777" w:rsidR="00B26C28" w:rsidRPr="00B26C28" w:rsidRDefault="00B26C28" w:rsidP="005C60ED">
      <w:pPr>
        <w:spacing w:after="0" w:line="276" w:lineRule="auto"/>
        <w:rPr>
          <w:rFonts w:ascii="Times New Roman" w:hAnsi="Times New Roman" w:cs="Times New Roman"/>
          <w:sz w:val="20"/>
          <w:szCs w:val="20"/>
          <w:lang w:val="en-GB" w:eastAsia="ja-JP"/>
        </w:rPr>
      </w:pPr>
      <w:r w:rsidRPr="005C60ED">
        <w:rPr>
          <w:rFonts w:ascii="Times New Roman" w:hAnsi="Times New Roman" w:cs="Times New Roman"/>
          <w:sz w:val="20"/>
          <w:szCs w:val="20"/>
          <w:highlight w:val="green"/>
          <w:lang w:val="en-GB" w:eastAsia="ja-JP"/>
        </w:rPr>
        <w:t>Agreement</w:t>
      </w:r>
    </w:p>
    <w:p w14:paraId="0957F330" w14:textId="77777777" w:rsidR="005C60ED" w:rsidRDefault="00B26C28" w:rsidP="00B26C28">
      <w:pPr>
        <w:pStyle w:val="ListParagraph"/>
        <w:numPr>
          <w:ilvl w:val="0"/>
          <w:numId w:val="55"/>
        </w:numPr>
        <w:spacing w:line="276" w:lineRule="auto"/>
        <w:ind w:left="426" w:hanging="426"/>
        <w:rPr>
          <w:rFonts w:ascii="Times New Roman" w:hAnsi="Times New Roman" w:cs="Times New Roman"/>
          <w:sz w:val="20"/>
          <w:szCs w:val="20"/>
          <w:lang w:val="en-GB" w:eastAsia="ja-JP"/>
        </w:rPr>
      </w:pPr>
      <w:r w:rsidRPr="005C60ED">
        <w:rPr>
          <w:rFonts w:ascii="Times New Roman" w:hAnsi="Times New Roman" w:cs="Times New Roman"/>
          <w:sz w:val="20"/>
          <w:szCs w:val="20"/>
          <w:lang w:val="en-GB" w:eastAsia="ja-JP"/>
        </w:rPr>
        <w:t>For value X in Beh 1A, candidate skipping values are</w:t>
      </w:r>
    </w:p>
    <w:p w14:paraId="0C202B2D" w14:textId="77777777" w:rsidR="005C60ED" w:rsidRDefault="00B26C28" w:rsidP="00B26C28">
      <w:pPr>
        <w:pStyle w:val="ListParagraph"/>
        <w:numPr>
          <w:ilvl w:val="1"/>
          <w:numId w:val="55"/>
        </w:numPr>
        <w:spacing w:line="276" w:lineRule="auto"/>
        <w:ind w:left="1276" w:hanging="425"/>
        <w:rPr>
          <w:rFonts w:ascii="Times New Roman" w:hAnsi="Times New Roman" w:cs="Times New Roman"/>
          <w:sz w:val="20"/>
          <w:szCs w:val="20"/>
          <w:lang w:val="en-GB" w:eastAsia="ja-JP"/>
        </w:rPr>
      </w:pPr>
      <w:r w:rsidRPr="005C60ED">
        <w:rPr>
          <w:rFonts w:ascii="Times New Roman" w:hAnsi="Times New Roman" w:cs="Times New Roman"/>
          <w:sz w:val="20"/>
          <w:szCs w:val="20"/>
          <w:lang w:val="en-GB" w:eastAsia="ja-JP"/>
        </w:rPr>
        <w:t>Up to [100ms] length is supported,</w:t>
      </w:r>
    </w:p>
    <w:p w14:paraId="6BED3DB5" w14:textId="77777777" w:rsidR="005C60ED" w:rsidRDefault="00B26C28" w:rsidP="00B26C28">
      <w:pPr>
        <w:pStyle w:val="ListParagraph"/>
        <w:numPr>
          <w:ilvl w:val="2"/>
          <w:numId w:val="55"/>
        </w:numPr>
        <w:spacing w:line="276" w:lineRule="auto"/>
        <w:rPr>
          <w:rFonts w:ascii="Times New Roman" w:hAnsi="Times New Roman" w:cs="Times New Roman"/>
          <w:sz w:val="20"/>
          <w:szCs w:val="20"/>
          <w:lang w:val="en-GB" w:eastAsia="ja-JP"/>
        </w:rPr>
      </w:pPr>
      <w:r w:rsidRPr="005C60ED">
        <w:rPr>
          <w:rFonts w:ascii="Times New Roman" w:hAnsi="Times New Roman" w:cs="Times New Roman"/>
          <w:sz w:val="20"/>
          <w:szCs w:val="20"/>
          <w:lang w:val="en-GB" w:eastAsia="ja-JP"/>
        </w:rPr>
        <w:t>The X is configured and indicated in the unit of slot.</w:t>
      </w:r>
    </w:p>
    <w:p w14:paraId="524F6A06" w14:textId="77777777" w:rsidR="005C60ED" w:rsidRDefault="00B26C28" w:rsidP="00B26C28">
      <w:pPr>
        <w:pStyle w:val="ListParagraph"/>
        <w:numPr>
          <w:ilvl w:val="3"/>
          <w:numId w:val="55"/>
        </w:numPr>
        <w:spacing w:line="276" w:lineRule="auto"/>
        <w:rPr>
          <w:rFonts w:ascii="Times New Roman" w:hAnsi="Times New Roman" w:cs="Times New Roman"/>
          <w:sz w:val="20"/>
          <w:szCs w:val="20"/>
          <w:lang w:val="en-GB" w:eastAsia="ja-JP"/>
        </w:rPr>
      </w:pPr>
      <w:r w:rsidRPr="005C60ED">
        <w:rPr>
          <w:rFonts w:ascii="Times New Roman" w:hAnsi="Times New Roman" w:cs="Times New Roman"/>
          <w:sz w:val="20"/>
          <w:szCs w:val="20"/>
          <w:lang w:val="en-GB" w:eastAsia="ja-JP"/>
        </w:rPr>
        <w:t>Working assumption for candidate values for X</w:t>
      </w:r>
    </w:p>
    <w:p w14:paraId="21EE2FA0" w14:textId="77777777" w:rsidR="005C60ED" w:rsidRDefault="00B26C28" w:rsidP="00B26C28">
      <w:pPr>
        <w:pStyle w:val="ListParagraph"/>
        <w:numPr>
          <w:ilvl w:val="3"/>
          <w:numId w:val="55"/>
        </w:numPr>
        <w:spacing w:line="276" w:lineRule="auto"/>
        <w:rPr>
          <w:rFonts w:ascii="Times New Roman" w:hAnsi="Times New Roman" w:cs="Times New Roman"/>
          <w:sz w:val="20"/>
          <w:szCs w:val="20"/>
          <w:lang w:val="en-GB" w:eastAsia="ja-JP"/>
        </w:rPr>
      </w:pPr>
      <w:r w:rsidRPr="005C60ED">
        <w:rPr>
          <w:rFonts w:ascii="Times New Roman" w:hAnsi="Times New Roman" w:cs="Times New Roman"/>
          <w:sz w:val="20"/>
          <w:szCs w:val="20"/>
          <w:lang w:val="en-GB" w:eastAsia="ja-JP"/>
        </w:rPr>
        <w:t>{1,</w:t>
      </w:r>
      <w:r w:rsidR="005C60ED">
        <w:rPr>
          <w:rFonts w:ascii="Times New Roman" w:hAnsi="Times New Roman" w:cs="Times New Roman"/>
          <w:sz w:val="20"/>
          <w:szCs w:val="20"/>
          <w:lang w:val="en-GB" w:eastAsia="ja-JP"/>
        </w:rPr>
        <w:t xml:space="preserve"> </w:t>
      </w:r>
      <w:r w:rsidRPr="005C60ED">
        <w:rPr>
          <w:rFonts w:ascii="Times New Roman" w:hAnsi="Times New Roman" w:cs="Times New Roman"/>
          <w:sz w:val="20"/>
          <w:szCs w:val="20"/>
          <w:lang w:val="en-GB" w:eastAsia="ja-JP"/>
        </w:rPr>
        <w:t>2,</w:t>
      </w:r>
      <w:r w:rsidR="005C60ED">
        <w:rPr>
          <w:rFonts w:ascii="Times New Roman" w:hAnsi="Times New Roman" w:cs="Times New Roman"/>
          <w:sz w:val="20"/>
          <w:szCs w:val="20"/>
          <w:lang w:val="en-GB" w:eastAsia="ja-JP"/>
        </w:rPr>
        <w:t xml:space="preserve"> 3</w:t>
      </w:r>
      <w:r w:rsidRPr="005C60ED">
        <w:rPr>
          <w:rFonts w:ascii="Times New Roman" w:hAnsi="Times New Roman" w:cs="Times New Roman"/>
          <w:sz w:val="20"/>
          <w:szCs w:val="20"/>
          <w:lang w:val="en-GB" w:eastAsia="ja-JP"/>
        </w:rPr>
        <w:t>,</w:t>
      </w:r>
      <w:r w:rsidR="005C60ED">
        <w:rPr>
          <w:rFonts w:ascii="Times New Roman" w:hAnsi="Times New Roman" w:cs="Times New Roman"/>
          <w:sz w:val="20"/>
          <w:szCs w:val="20"/>
          <w:lang w:val="en-GB" w:eastAsia="ja-JP"/>
        </w:rPr>
        <w:t xml:space="preserve"> </w:t>
      </w:r>
      <w:r w:rsidRPr="005C60ED">
        <w:rPr>
          <w:rFonts w:ascii="Times New Roman" w:hAnsi="Times New Roman" w:cs="Times New Roman"/>
          <w:sz w:val="20"/>
          <w:szCs w:val="20"/>
          <w:lang w:val="en-GB" w:eastAsia="ja-JP"/>
        </w:rPr>
        <w:t>…,</w:t>
      </w:r>
      <w:r w:rsidR="005C60ED">
        <w:rPr>
          <w:rFonts w:ascii="Times New Roman" w:hAnsi="Times New Roman" w:cs="Times New Roman"/>
          <w:sz w:val="20"/>
          <w:szCs w:val="20"/>
          <w:lang w:val="en-GB" w:eastAsia="ja-JP"/>
        </w:rPr>
        <w:t xml:space="preserve"> </w:t>
      </w:r>
      <w:r w:rsidRPr="005C60ED">
        <w:rPr>
          <w:rFonts w:ascii="Times New Roman" w:hAnsi="Times New Roman" w:cs="Times New Roman"/>
          <w:sz w:val="20"/>
          <w:szCs w:val="20"/>
          <w:lang w:val="en-GB" w:eastAsia="ja-JP"/>
        </w:rPr>
        <w:t>20,30, 40, 50, 60, 80, 100} for 15 kHz SCS,</w:t>
      </w:r>
    </w:p>
    <w:p w14:paraId="47525F98" w14:textId="77777777" w:rsidR="00307C58" w:rsidRDefault="00B26C28" w:rsidP="00B26C28">
      <w:pPr>
        <w:pStyle w:val="ListParagraph"/>
        <w:numPr>
          <w:ilvl w:val="3"/>
          <w:numId w:val="55"/>
        </w:numPr>
        <w:spacing w:line="276" w:lineRule="auto"/>
        <w:rPr>
          <w:rFonts w:ascii="Times New Roman" w:hAnsi="Times New Roman" w:cs="Times New Roman"/>
          <w:sz w:val="20"/>
          <w:szCs w:val="20"/>
          <w:lang w:val="en-GB" w:eastAsia="ja-JP"/>
        </w:rPr>
      </w:pPr>
      <w:r w:rsidRPr="005C60ED">
        <w:rPr>
          <w:rFonts w:ascii="Times New Roman" w:hAnsi="Times New Roman" w:cs="Times New Roman"/>
          <w:sz w:val="20"/>
          <w:szCs w:val="20"/>
          <w:lang w:val="en-GB" w:eastAsia="ja-JP"/>
        </w:rPr>
        <w:t>{1,</w:t>
      </w:r>
      <w:r w:rsidR="005C60ED">
        <w:rPr>
          <w:rFonts w:ascii="Times New Roman" w:hAnsi="Times New Roman" w:cs="Times New Roman"/>
          <w:sz w:val="20"/>
          <w:szCs w:val="20"/>
          <w:lang w:val="en-GB" w:eastAsia="ja-JP"/>
        </w:rPr>
        <w:t xml:space="preserve"> </w:t>
      </w:r>
      <w:r w:rsidRPr="005C60ED">
        <w:rPr>
          <w:rFonts w:ascii="Times New Roman" w:hAnsi="Times New Roman" w:cs="Times New Roman"/>
          <w:sz w:val="20"/>
          <w:szCs w:val="20"/>
          <w:lang w:val="en-GB" w:eastAsia="ja-JP"/>
        </w:rPr>
        <w:t>2,</w:t>
      </w:r>
      <w:r w:rsidR="005C60ED">
        <w:rPr>
          <w:rFonts w:ascii="Times New Roman" w:hAnsi="Times New Roman" w:cs="Times New Roman"/>
          <w:sz w:val="20"/>
          <w:szCs w:val="20"/>
          <w:lang w:val="en-GB" w:eastAsia="ja-JP"/>
        </w:rPr>
        <w:t xml:space="preserve"> </w:t>
      </w:r>
      <w:r w:rsidRPr="005C60ED">
        <w:rPr>
          <w:rFonts w:ascii="Times New Roman" w:hAnsi="Times New Roman" w:cs="Times New Roman"/>
          <w:sz w:val="20"/>
          <w:szCs w:val="20"/>
          <w:lang w:val="en-GB" w:eastAsia="ja-JP"/>
        </w:rPr>
        <w:t>3,</w:t>
      </w:r>
      <w:r w:rsidR="005C60ED">
        <w:rPr>
          <w:rFonts w:ascii="Times New Roman" w:hAnsi="Times New Roman" w:cs="Times New Roman"/>
          <w:sz w:val="20"/>
          <w:szCs w:val="20"/>
          <w:lang w:val="en-GB" w:eastAsia="ja-JP"/>
        </w:rPr>
        <w:t xml:space="preserve"> </w:t>
      </w:r>
      <w:r w:rsidRPr="005C60ED">
        <w:rPr>
          <w:rFonts w:ascii="Times New Roman" w:hAnsi="Times New Roman" w:cs="Times New Roman"/>
          <w:sz w:val="20"/>
          <w:szCs w:val="20"/>
          <w:lang w:val="en-GB" w:eastAsia="ja-JP"/>
        </w:rPr>
        <w:t>…,</w:t>
      </w:r>
      <w:r w:rsidR="005C60ED">
        <w:rPr>
          <w:rFonts w:ascii="Times New Roman" w:hAnsi="Times New Roman" w:cs="Times New Roman"/>
          <w:sz w:val="20"/>
          <w:szCs w:val="20"/>
          <w:lang w:val="en-GB" w:eastAsia="ja-JP"/>
        </w:rPr>
        <w:t xml:space="preserve"> </w:t>
      </w:r>
      <w:r w:rsidRPr="005C60ED">
        <w:rPr>
          <w:rFonts w:ascii="Times New Roman" w:hAnsi="Times New Roman" w:cs="Times New Roman"/>
          <w:sz w:val="20"/>
          <w:szCs w:val="20"/>
          <w:lang w:val="en-GB" w:eastAsia="ja-JP"/>
        </w:rPr>
        <w:t>40, 60, 80, 100, 120,160,200} for 30 kHz SCS,</w:t>
      </w:r>
    </w:p>
    <w:p w14:paraId="55843142" w14:textId="77777777" w:rsidR="00307C58" w:rsidRDefault="00B26C28" w:rsidP="00B26C28">
      <w:pPr>
        <w:pStyle w:val="ListParagraph"/>
        <w:numPr>
          <w:ilvl w:val="3"/>
          <w:numId w:val="55"/>
        </w:numPr>
        <w:spacing w:line="276" w:lineRule="auto"/>
        <w:rPr>
          <w:rFonts w:ascii="Times New Roman" w:hAnsi="Times New Roman" w:cs="Times New Roman"/>
          <w:sz w:val="20"/>
          <w:szCs w:val="20"/>
          <w:lang w:val="en-GB" w:eastAsia="ja-JP"/>
        </w:rPr>
      </w:pPr>
      <w:r w:rsidRPr="00307C58">
        <w:rPr>
          <w:rFonts w:ascii="Times New Roman" w:hAnsi="Times New Roman" w:cs="Times New Roman"/>
          <w:sz w:val="20"/>
          <w:szCs w:val="20"/>
          <w:lang w:val="en-GB" w:eastAsia="ja-JP"/>
        </w:rPr>
        <w:t>{1,</w:t>
      </w:r>
      <w:r w:rsidR="00307C58">
        <w:rPr>
          <w:rFonts w:ascii="Times New Roman" w:hAnsi="Times New Roman" w:cs="Times New Roman"/>
          <w:sz w:val="20"/>
          <w:szCs w:val="20"/>
          <w:lang w:val="en-GB" w:eastAsia="ja-JP"/>
        </w:rPr>
        <w:t xml:space="preserve"> </w:t>
      </w:r>
      <w:r w:rsidRPr="00307C58">
        <w:rPr>
          <w:rFonts w:ascii="Times New Roman" w:hAnsi="Times New Roman" w:cs="Times New Roman"/>
          <w:sz w:val="20"/>
          <w:szCs w:val="20"/>
          <w:lang w:val="en-GB" w:eastAsia="ja-JP"/>
        </w:rPr>
        <w:t>2,</w:t>
      </w:r>
      <w:r w:rsidR="00307C58">
        <w:rPr>
          <w:rFonts w:ascii="Times New Roman" w:hAnsi="Times New Roman" w:cs="Times New Roman"/>
          <w:sz w:val="20"/>
          <w:szCs w:val="20"/>
          <w:lang w:val="en-GB" w:eastAsia="ja-JP"/>
        </w:rPr>
        <w:t xml:space="preserve"> </w:t>
      </w:r>
      <w:r w:rsidRPr="00307C58">
        <w:rPr>
          <w:rFonts w:ascii="Times New Roman" w:hAnsi="Times New Roman" w:cs="Times New Roman"/>
          <w:sz w:val="20"/>
          <w:szCs w:val="20"/>
          <w:lang w:val="en-GB" w:eastAsia="ja-JP"/>
        </w:rPr>
        <w:t>3,</w:t>
      </w:r>
      <w:r w:rsidR="00307C58">
        <w:rPr>
          <w:rFonts w:ascii="Times New Roman" w:hAnsi="Times New Roman" w:cs="Times New Roman"/>
          <w:sz w:val="20"/>
          <w:szCs w:val="20"/>
          <w:lang w:val="en-GB" w:eastAsia="ja-JP"/>
        </w:rPr>
        <w:t xml:space="preserve"> </w:t>
      </w:r>
      <w:r w:rsidRPr="00307C58">
        <w:rPr>
          <w:rFonts w:ascii="Times New Roman" w:hAnsi="Times New Roman" w:cs="Times New Roman"/>
          <w:sz w:val="20"/>
          <w:szCs w:val="20"/>
          <w:lang w:val="en-GB" w:eastAsia="ja-JP"/>
        </w:rPr>
        <w:t>…,</w:t>
      </w:r>
      <w:r w:rsidR="00307C58">
        <w:rPr>
          <w:rFonts w:ascii="Times New Roman" w:hAnsi="Times New Roman" w:cs="Times New Roman"/>
          <w:sz w:val="20"/>
          <w:szCs w:val="20"/>
          <w:lang w:val="en-GB" w:eastAsia="ja-JP"/>
        </w:rPr>
        <w:t xml:space="preserve"> </w:t>
      </w:r>
      <w:r w:rsidRPr="00307C58">
        <w:rPr>
          <w:rFonts w:ascii="Times New Roman" w:hAnsi="Times New Roman" w:cs="Times New Roman"/>
          <w:sz w:val="20"/>
          <w:szCs w:val="20"/>
          <w:lang w:val="en-GB" w:eastAsia="ja-JP"/>
        </w:rPr>
        <w:t>80, 120, 160, 200, 240, 320,400} for 60kHz SCS,</w:t>
      </w:r>
    </w:p>
    <w:p w14:paraId="13BFA4B3" w14:textId="77777777" w:rsidR="00307C58" w:rsidRDefault="00B26C28" w:rsidP="00B26C28">
      <w:pPr>
        <w:pStyle w:val="ListParagraph"/>
        <w:numPr>
          <w:ilvl w:val="3"/>
          <w:numId w:val="55"/>
        </w:numPr>
        <w:spacing w:line="276" w:lineRule="auto"/>
        <w:rPr>
          <w:rFonts w:ascii="Times New Roman" w:hAnsi="Times New Roman" w:cs="Times New Roman"/>
          <w:sz w:val="20"/>
          <w:szCs w:val="20"/>
          <w:lang w:val="en-GB" w:eastAsia="ja-JP"/>
        </w:rPr>
      </w:pPr>
      <w:r w:rsidRPr="00307C58">
        <w:rPr>
          <w:rFonts w:ascii="Times New Roman" w:hAnsi="Times New Roman" w:cs="Times New Roman"/>
          <w:sz w:val="20"/>
          <w:szCs w:val="20"/>
          <w:lang w:val="en-GB" w:eastAsia="ja-JP"/>
        </w:rPr>
        <w:t>{1,</w:t>
      </w:r>
      <w:r w:rsidR="00307C58">
        <w:rPr>
          <w:rFonts w:ascii="Times New Roman" w:hAnsi="Times New Roman" w:cs="Times New Roman"/>
          <w:sz w:val="20"/>
          <w:szCs w:val="20"/>
          <w:lang w:val="en-GB" w:eastAsia="ja-JP"/>
        </w:rPr>
        <w:t xml:space="preserve"> </w:t>
      </w:r>
      <w:r w:rsidRPr="00307C58">
        <w:rPr>
          <w:rFonts w:ascii="Times New Roman" w:hAnsi="Times New Roman" w:cs="Times New Roman"/>
          <w:sz w:val="20"/>
          <w:szCs w:val="20"/>
          <w:lang w:val="en-GB" w:eastAsia="ja-JP"/>
        </w:rPr>
        <w:t>2,</w:t>
      </w:r>
      <w:r w:rsidR="00307C58">
        <w:rPr>
          <w:rFonts w:ascii="Times New Roman" w:hAnsi="Times New Roman" w:cs="Times New Roman"/>
          <w:sz w:val="20"/>
          <w:szCs w:val="20"/>
          <w:lang w:val="en-GB" w:eastAsia="ja-JP"/>
        </w:rPr>
        <w:t xml:space="preserve"> </w:t>
      </w:r>
      <w:r w:rsidRPr="00307C58">
        <w:rPr>
          <w:rFonts w:ascii="Times New Roman" w:hAnsi="Times New Roman" w:cs="Times New Roman"/>
          <w:sz w:val="20"/>
          <w:szCs w:val="20"/>
          <w:lang w:val="en-GB" w:eastAsia="ja-JP"/>
        </w:rPr>
        <w:t>3,</w:t>
      </w:r>
      <w:r w:rsidR="00307C58">
        <w:rPr>
          <w:rFonts w:ascii="Times New Roman" w:hAnsi="Times New Roman" w:cs="Times New Roman"/>
          <w:sz w:val="20"/>
          <w:szCs w:val="20"/>
          <w:lang w:val="en-GB" w:eastAsia="ja-JP"/>
        </w:rPr>
        <w:t xml:space="preserve"> </w:t>
      </w:r>
      <w:r w:rsidRPr="00307C58">
        <w:rPr>
          <w:rFonts w:ascii="Times New Roman" w:hAnsi="Times New Roman" w:cs="Times New Roman"/>
          <w:sz w:val="20"/>
          <w:szCs w:val="20"/>
          <w:lang w:val="en-GB" w:eastAsia="ja-JP"/>
        </w:rPr>
        <w:t>…,</w:t>
      </w:r>
      <w:r w:rsidR="00307C58">
        <w:rPr>
          <w:rFonts w:ascii="Times New Roman" w:hAnsi="Times New Roman" w:cs="Times New Roman"/>
          <w:sz w:val="20"/>
          <w:szCs w:val="20"/>
          <w:lang w:val="en-GB" w:eastAsia="ja-JP"/>
        </w:rPr>
        <w:t xml:space="preserve"> </w:t>
      </w:r>
      <w:r w:rsidRPr="00307C58">
        <w:rPr>
          <w:rFonts w:ascii="Times New Roman" w:hAnsi="Times New Roman" w:cs="Times New Roman"/>
          <w:sz w:val="20"/>
          <w:szCs w:val="20"/>
          <w:lang w:val="en-GB" w:eastAsia="ja-JP"/>
        </w:rPr>
        <w:t>160, 240, 320,400, 480, 640,800} for 120kHz SCS</w:t>
      </w:r>
    </w:p>
    <w:p w14:paraId="3DE4FF37" w14:textId="77777777" w:rsidR="00307C58" w:rsidRDefault="00B26C28" w:rsidP="00B26C28">
      <w:pPr>
        <w:pStyle w:val="ListParagraph"/>
        <w:numPr>
          <w:ilvl w:val="1"/>
          <w:numId w:val="55"/>
        </w:numPr>
        <w:spacing w:line="276" w:lineRule="auto"/>
        <w:rPr>
          <w:rFonts w:ascii="Times New Roman" w:hAnsi="Times New Roman" w:cs="Times New Roman"/>
          <w:sz w:val="20"/>
          <w:szCs w:val="20"/>
          <w:lang w:val="en-GB" w:eastAsia="ja-JP"/>
        </w:rPr>
      </w:pPr>
      <w:r w:rsidRPr="00307C58">
        <w:rPr>
          <w:rFonts w:ascii="Times New Roman" w:hAnsi="Times New Roman" w:cs="Times New Roman"/>
          <w:sz w:val="20"/>
          <w:szCs w:val="20"/>
          <w:lang w:val="en-GB" w:eastAsia="ja-JP"/>
        </w:rPr>
        <w:t>FFS: Equal to or longer than the applicable minimum scheduling offset</w:t>
      </w:r>
    </w:p>
    <w:p w14:paraId="552884A9" w14:textId="151FB773" w:rsidR="00B26C28" w:rsidRPr="00307C58" w:rsidRDefault="00B26C28" w:rsidP="00B26C28">
      <w:pPr>
        <w:pStyle w:val="ListParagraph"/>
        <w:numPr>
          <w:ilvl w:val="1"/>
          <w:numId w:val="55"/>
        </w:numPr>
        <w:spacing w:line="276" w:lineRule="auto"/>
        <w:rPr>
          <w:rFonts w:ascii="Times New Roman" w:hAnsi="Times New Roman" w:cs="Times New Roman"/>
          <w:sz w:val="20"/>
          <w:szCs w:val="20"/>
          <w:lang w:val="en-GB" w:eastAsia="ja-JP"/>
        </w:rPr>
      </w:pPr>
      <w:r w:rsidRPr="00307C58">
        <w:rPr>
          <w:rFonts w:ascii="Times New Roman" w:hAnsi="Times New Roman" w:cs="Times New Roman"/>
          <w:sz w:val="20"/>
          <w:szCs w:val="20"/>
          <w:lang w:val="en-GB" w:eastAsia="ja-JP"/>
        </w:rPr>
        <w:t>FFS: additional symbol level / PDCCH monitoring period level skipping duration</w:t>
      </w:r>
    </w:p>
    <w:sectPr w:rsidR="00B26C28" w:rsidRPr="00307C58"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F92AC5" w14:textId="77777777" w:rsidR="0085047C" w:rsidRDefault="0085047C">
      <w:r>
        <w:separator/>
      </w:r>
    </w:p>
  </w:endnote>
  <w:endnote w:type="continuationSeparator" w:id="0">
    <w:p w14:paraId="2284BAE7" w14:textId="77777777" w:rsidR="0085047C" w:rsidRDefault="0085047C">
      <w:r>
        <w:continuationSeparator/>
      </w:r>
    </w:p>
  </w:endnote>
  <w:endnote w:type="continuationNotice" w:id="1">
    <w:p w14:paraId="6013BD44" w14:textId="77777777" w:rsidR="0085047C" w:rsidRDefault="008504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badi">
    <w:charset w:val="00"/>
    <w:family w:val="swiss"/>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F5043B" w:rsidRDefault="00F5043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F13A6" w14:textId="77777777" w:rsidR="0085047C" w:rsidRDefault="0085047C">
      <w:r>
        <w:separator/>
      </w:r>
    </w:p>
  </w:footnote>
  <w:footnote w:type="continuationSeparator" w:id="0">
    <w:p w14:paraId="0EEE4A06" w14:textId="77777777" w:rsidR="0085047C" w:rsidRDefault="0085047C">
      <w:r>
        <w:continuationSeparator/>
      </w:r>
    </w:p>
  </w:footnote>
  <w:footnote w:type="continuationNotice" w:id="1">
    <w:p w14:paraId="50AEC062" w14:textId="77777777" w:rsidR="0085047C" w:rsidRDefault="008504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F5043B" w:rsidRDefault="00F504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AA5F71"/>
    <w:multiLevelType w:val="hybridMultilevel"/>
    <w:tmpl w:val="7B4C932E"/>
    <w:lvl w:ilvl="0" w:tplc="52169076">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3179E"/>
    <w:multiLevelType w:val="hybridMultilevel"/>
    <w:tmpl w:val="380C9A42"/>
    <w:lvl w:ilvl="0" w:tplc="54F25A1A">
      <w:start w:val="1"/>
      <w:numFmt w:val="bullet"/>
      <w:lvlText w:val="-"/>
      <w:lvlJc w:val="left"/>
      <w:pPr>
        <w:ind w:left="720" w:hanging="360"/>
      </w:pPr>
      <w:rPr>
        <w:rFonts w:ascii="Abadi" w:hAnsi="Abadi"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E919A5"/>
    <w:multiLevelType w:val="hybridMultilevel"/>
    <w:tmpl w:val="2A58D050"/>
    <w:lvl w:ilvl="0" w:tplc="54F25A1A">
      <w:start w:val="1"/>
      <w:numFmt w:val="bullet"/>
      <w:lvlText w:val="-"/>
      <w:lvlJc w:val="left"/>
      <w:pPr>
        <w:ind w:left="720" w:hanging="360"/>
      </w:pPr>
      <w:rPr>
        <w:rFonts w:ascii="Abadi" w:hAnsi="Aba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4" w15:restartNumberingAfterBreak="0">
    <w:nsid w:val="24BF6A4D"/>
    <w:multiLevelType w:val="hybridMultilevel"/>
    <w:tmpl w:val="2ED2B4EE"/>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86468C"/>
    <w:multiLevelType w:val="hybridMultilevel"/>
    <w:tmpl w:val="78105AA8"/>
    <w:lvl w:ilvl="0" w:tplc="54F25A1A">
      <w:start w:val="1"/>
      <w:numFmt w:val="bullet"/>
      <w:lvlText w:val="-"/>
      <w:lvlJc w:val="left"/>
      <w:pPr>
        <w:ind w:left="720" w:hanging="360"/>
      </w:pPr>
      <w:rPr>
        <w:rFonts w:ascii="Abadi" w:hAnsi="Aba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5" w15:restartNumberingAfterBreak="0">
    <w:nsid w:val="3AA46647"/>
    <w:multiLevelType w:val="hybridMultilevel"/>
    <w:tmpl w:val="FAB22336"/>
    <w:lvl w:ilvl="0" w:tplc="37EEFD50">
      <w:start w:val="1"/>
      <w:numFmt w:val="decimal"/>
      <w:pStyle w:val="Proposal"/>
      <w:lvlText w:val="Proposal %1"/>
      <w:lvlJc w:val="left"/>
      <w:pPr>
        <w:tabs>
          <w:tab w:val="num" w:pos="1304"/>
        </w:tabs>
        <w:ind w:left="1304" w:hanging="1304"/>
      </w:pPr>
      <w:rPr>
        <w:rFonts w:hint="default"/>
        <w:sz w:val="22"/>
        <w:szCs w:val="22"/>
      </w:rPr>
    </w:lvl>
    <w:lvl w:ilvl="1" w:tplc="54F25A1A">
      <w:start w:val="1"/>
      <w:numFmt w:val="bullet"/>
      <w:lvlText w:val="-"/>
      <w:lvlJc w:val="left"/>
      <w:pPr>
        <w:tabs>
          <w:tab w:val="num" w:pos="1440"/>
        </w:tabs>
        <w:ind w:left="1440" w:hanging="360"/>
      </w:pPr>
      <w:rPr>
        <w:rFonts w:ascii="Abadi" w:hAnsi="Abad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2"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97221"/>
    <w:multiLevelType w:val="hybridMultilevel"/>
    <w:tmpl w:val="F51618F4"/>
    <w:lvl w:ilvl="0" w:tplc="404E7AA2">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DF7391"/>
    <w:multiLevelType w:val="hybridMultilevel"/>
    <w:tmpl w:val="BCF0E52E"/>
    <w:lvl w:ilvl="0" w:tplc="12627B32">
      <w:start w:val="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4"/>
  </w:num>
  <w:num w:numId="3">
    <w:abstractNumId w:val="25"/>
  </w:num>
  <w:num w:numId="4">
    <w:abstractNumId w:val="26"/>
  </w:num>
  <w:num w:numId="5">
    <w:abstractNumId w:val="20"/>
  </w:num>
  <w:num w:numId="6">
    <w:abstractNumId w:val="29"/>
  </w:num>
  <w:num w:numId="7">
    <w:abstractNumId w:val="38"/>
  </w:num>
  <w:num w:numId="8">
    <w:abstractNumId w:val="21"/>
  </w:num>
  <w:num w:numId="9">
    <w:abstractNumId w:val="16"/>
  </w:num>
  <w:num w:numId="10">
    <w:abstractNumId w:val="2"/>
  </w:num>
  <w:num w:numId="11">
    <w:abstractNumId w:val="1"/>
  </w:num>
  <w:num w:numId="12">
    <w:abstractNumId w:val="0"/>
  </w:num>
  <w:num w:numId="13">
    <w:abstractNumId w:val="35"/>
  </w:num>
  <w:num w:numId="14">
    <w:abstractNumId w:val="36"/>
  </w:num>
  <w:num w:numId="15">
    <w:abstractNumId w:val="28"/>
  </w:num>
  <w:num w:numId="16">
    <w:abstractNumId w:val="39"/>
  </w:num>
  <w:num w:numId="17">
    <w:abstractNumId w:val="11"/>
  </w:num>
  <w:num w:numId="18">
    <w:abstractNumId w:val="15"/>
  </w:num>
  <w:num w:numId="19">
    <w:abstractNumId w:val="7"/>
  </w:num>
  <w:num w:numId="20">
    <w:abstractNumId w:val="47"/>
  </w:num>
  <w:num w:numId="21">
    <w:abstractNumId w:val="23"/>
  </w:num>
  <w:num w:numId="22">
    <w:abstractNumId w:val="44"/>
  </w:num>
  <w:num w:numId="23">
    <w:abstractNumId w:val="10"/>
  </w:num>
  <w:num w:numId="24">
    <w:abstractNumId w:val="24"/>
  </w:num>
  <w:num w:numId="25">
    <w:abstractNumId w:val="22"/>
  </w:num>
  <w:num w:numId="26">
    <w:abstractNumId w:val="33"/>
  </w:num>
  <w:num w:numId="27">
    <w:abstractNumId w:val="18"/>
  </w:num>
  <w:num w:numId="28">
    <w:abstractNumId w:val="48"/>
  </w:num>
  <w:num w:numId="29">
    <w:abstractNumId w:val="43"/>
  </w:num>
  <w:num w:numId="30">
    <w:abstractNumId w:val="40"/>
  </w:num>
  <w:num w:numId="31">
    <w:abstractNumId w:val="37"/>
  </w:num>
  <w:num w:numId="32">
    <w:abstractNumId w:val="37"/>
  </w:num>
  <w:num w:numId="33">
    <w:abstractNumId w:val="48"/>
  </w:num>
  <w:num w:numId="34">
    <w:abstractNumId w:val="32"/>
  </w:num>
  <w:num w:numId="35">
    <w:abstractNumId w:val="43"/>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45"/>
  </w:num>
  <w:num w:numId="39">
    <w:abstractNumId w:val="9"/>
  </w:num>
  <w:num w:numId="40">
    <w:abstractNumId w:val="31"/>
  </w:num>
  <w:num w:numId="41">
    <w:abstractNumId w:val="37"/>
    <w:lvlOverride w:ilvl="0">
      <w:startOverride w:val="1"/>
    </w:lvlOverride>
  </w:num>
  <w:num w:numId="42">
    <w:abstractNumId w:val="37"/>
  </w:num>
  <w:num w:numId="43">
    <w:abstractNumId w:val="19"/>
  </w:num>
  <w:num w:numId="44">
    <w:abstractNumId w:val="46"/>
  </w:num>
  <w:num w:numId="45">
    <w:abstractNumId w:val="6"/>
  </w:num>
  <w:num w:numId="46">
    <w:abstractNumId w:val="37"/>
  </w:num>
  <w:num w:numId="47">
    <w:abstractNumId w:val="37"/>
  </w:num>
  <w:num w:numId="48">
    <w:abstractNumId w:val="25"/>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num>
  <w:num w:numId="53">
    <w:abstractNumId w:val="30"/>
  </w:num>
  <w:num w:numId="54">
    <w:abstractNumId w:val="12"/>
  </w:num>
  <w:num w:numId="55">
    <w:abstractNumId w:val="5"/>
  </w:num>
  <w:num w:numId="56">
    <w:abstractNumId w:val="4"/>
  </w:num>
  <w:num w:numId="57">
    <w:abstractNumId w:val="41"/>
  </w:num>
  <w:num w:numId="58">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7"/>
  </w:num>
  <w:num w:numId="60">
    <w:abstractNumId w:val="14"/>
  </w:num>
  <w:num w:numId="61">
    <w:abstractNumId w:val="42"/>
  </w:num>
  <w:num w:numId="62">
    <w:abstractNumId w:val="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A1"/>
    <w:rsid w:val="000006E1"/>
    <w:rsid w:val="000011D8"/>
    <w:rsid w:val="000024D9"/>
    <w:rsid w:val="00002A37"/>
    <w:rsid w:val="0000564C"/>
    <w:rsid w:val="000061D0"/>
    <w:rsid w:val="00006446"/>
    <w:rsid w:val="00006896"/>
    <w:rsid w:val="00007CDC"/>
    <w:rsid w:val="00010D1B"/>
    <w:rsid w:val="00011B28"/>
    <w:rsid w:val="00015D15"/>
    <w:rsid w:val="00017D1F"/>
    <w:rsid w:val="0002203A"/>
    <w:rsid w:val="000226E2"/>
    <w:rsid w:val="0002564D"/>
    <w:rsid w:val="00025ECA"/>
    <w:rsid w:val="00027C77"/>
    <w:rsid w:val="00031D90"/>
    <w:rsid w:val="000325B8"/>
    <w:rsid w:val="000329DC"/>
    <w:rsid w:val="00032E3B"/>
    <w:rsid w:val="00034C15"/>
    <w:rsid w:val="00036BA1"/>
    <w:rsid w:val="0003730C"/>
    <w:rsid w:val="00037C92"/>
    <w:rsid w:val="000406B4"/>
    <w:rsid w:val="00040726"/>
    <w:rsid w:val="00040B0D"/>
    <w:rsid w:val="000422E2"/>
    <w:rsid w:val="00042F22"/>
    <w:rsid w:val="000444EF"/>
    <w:rsid w:val="00046472"/>
    <w:rsid w:val="00052A07"/>
    <w:rsid w:val="00052A5C"/>
    <w:rsid w:val="00053033"/>
    <w:rsid w:val="000531E0"/>
    <w:rsid w:val="000534E3"/>
    <w:rsid w:val="0005606A"/>
    <w:rsid w:val="00057117"/>
    <w:rsid w:val="000578A2"/>
    <w:rsid w:val="00057F59"/>
    <w:rsid w:val="000616E7"/>
    <w:rsid w:val="0006487E"/>
    <w:rsid w:val="00065E1A"/>
    <w:rsid w:val="00066A44"/>
    <w:rsid w:val="000672F6"/>
    <w:rsid w:val="000675D2"/>
    <w:rsid w:val="000709EA"/>
    <w:rsid w:val="00070CE1"/>
    <w:rsid w:val="0007257D"/>
    <w:rsid w:val="00077E5F"/>
    <w:rsid w:val="0008036A"/>
    <w:rsid w:val="00081AE6"/>
    <w:rsid w:val="00081C2C"/>
    <w:rsid w:val="00082EE9"/>
    <w:rsid w:val="00082FD3"/>
    <w:rsid w:val="000840D9"/>
    <w:rsid w:val="00084477"/>
    <w:rsid w:val="000854CD"/>
    <w:rsid w:val="000855EB"/>
    <w:rsid w:val="00085971"/>
    <w:rsid w:val="00085B52"/>
    <w:rsid w:val="00085E96"/>
    <w:rsid w:val="000866F2"/>
    <w:rsid w:val="00087F3B"/>
    <w:rsid w:val="0009009F"/>
    <w:rsid w:val="00090665"/>
    <w:rsid w:val="00091557"/>
    <w:rsid w:val="000916B4"/>
    <w:rsid w:val="000924C1"/>
    <w:rsid w:val="000924F0"/>
    <w:rsid w:val="00092745"/>
    <w:rsid w:val="00093474"/>
    <w:rsid w:val="0009510F"/>
    <w:rsid w:val="00095CCA"/>
    <w:rsid w:val="000A03A1"/>
    <w:rsid w:val="000A0DB2"/>
    <w:rsid w:val="000A1B7B"/>
    <w:rsid w:val="000A1C26"/>
    <w:rsid w:val="000A37D1"/>
    <w:rsid w:val="000A495A"/>
    <w:rsid w:val="000A56F2"/>
    <w:rsid w:val="000B0FBA"/>
    <w:rsid w:val="000B2719"/>
    <w:rsid w:val="000B3A8F"/>
    <w:rsid w:val="000B3EBD"/>
    <w:rsid w:val="000B4AB9"/>
    <w:rsid w:val="000B58C3"/>
    <w:rsid w:val="000B61E9"/>
    <w:rsid w:val="000B6842"/>
    <w:rsid w:val="000C165A"/>
    <w:rsid w:val="000C20CF"/>
    <w:rsid w:val="000C2E19"/>
    <w:rsid w:val="000C43D3"/>
    <w:rsid w:val="000C4ABF"/>
    <w:rsid w:val="000D0D07"/>
    <w:rsid w:val="000D396D"/>
    <w:rsid w:val="000D3A57"/>
    <w:rsid w:val="000D4797"/>
    <w:rsid w:val="000E0097"/>
    <w:rsid w:val="000E0527"/>
    <w:rsid w:val="000E0C7D"/>
    <w:rsid w:val="000E1E92"/>
    <w:rsid w:val="000E3DEC"/>
    <w:rsid w:val="000E74E9"/>
    <w:rsid w:val="000F06D6"/>
    <w:rsid w:val="000F0944"/>
    <w:rsid w:val="000F0EB1"/>
    <w:rsid w:val="000F1106"/>
    <w:rsid w:val="000F1674"/>
    <w:rsid w:val="000F3BE9"/>
    <w:rsid w:val="000F3D76"/>
    <w:rsid w:val="000F3DD1"/>
    <w:rsid w:val="000F3F6C"/>
    <w:rsid w:val="000F4A9D"/>
    <w:rsid w:val="000F6DF3"/>
    <w:rsid w:val="001005FF"/>
    <w:rsid w:val="001011D9"/>
    <w:rsid w:val="00103D1F"/>
    <w:rsid w:val="001062FB"/>
    <w:rsid w:val="001063E6"/>
    <w:rsid w:val="00111391"/>
    <w:rsid w:val="00113CF4"/>
    <w:rsid w:val="001153EA"/>
    <w:rsid w:val="00115643"/>
    <w:rsid w:val="0011596E"/>
    <w:rsid w:val="00116016"/>
    <w:rsid w:val="00116765"/>
    <w:rsid w:val="001219F5"/>
    <w:rsid w:val="00121A20"/>
    <w:rsid w:val="0012377F"/>
    <w:rsid w:val="00124314"/>
    <w:rsid w:val="00126B4A"/>
    <w:rsid w:val="00132FD0"/>
    <w:rsid w:val="001344C0"/>
    <w:rsid w:val="001346FA"/>
    <w:rsid w:val="00135252"/>
    <w:rsid w:val="00137AB5"/>
    <w:rsid w:val="00137F0B"/>
    <w:rsid w:val="00140259"/>
    <w:rsid w:val="00140698"/>
    <w:rsid w:val="001425CB"/>
    <w:rsid w:val="00151E23"/>
    <w:rsid w:val="001526E0"/>
    <w:rsid w:val="00154255"/>
    <w:rsid w:val="00154B2D"/>
    <w:rsid w:val="001551B5"/>
    <w:rsid w:val="001569A1"/>
    <w:rsid w:val="0016200C"/>
    <w:rsid w:val="001659C1"/>
    <w:rsid w:val="00166398"/>
    <w:rsid w:val="00166688"/>
    <w:rsid w:val="00166798"/>
    <w:rsid w:val="00172326"/>
    <w:rsid w:val="00173155"/>
    <w:rsid w:val="00173A8E"/>
    <w:rsid w:val="00174929"/>
    <w:rsid w:val="00174B8D"/>
    <w:rsid w:val="0017502C"/>
    <w:rsid w:val="0018143F"/>
    <w:rsid w:val="00181FF8"/>
    <w:rsid w:val="001830B8"/>
    <w:rsid w:val="0018405A"/>
    <w:rsid w:val="001864BB"/>
    <w:rsid w:val="00187B04"/>
    <w:rsid w:val="00190AC1"/>
    <w:rsid w:val="00193193"/>
    <w:rsid w:val="0019341A"/>
    <w:rsid w:val="0019705D"/>
    <w:rsid w:val="00197DF9"/>
    <w:rsid w:val="001A1987"/>
    <w:rsid w:val="001A1C27"/>
    <w:rsid w:val="001A2564"/>
    <w:rsid w:val="001A5088"/>
    <w:rsid w:val="001A6173"/>
    <w:rsid w:val="001A6CBA"/>
    <w:rsid w:val="001B0D97"/>
    <w:rsid w:val="001B30B7"/>
    <w:rsid w:val="001B3799"/>
    <w:rsid w:val="001B402D"/>
    <w:rsid w:val="001B4C3B"/>
    <w:rsid w:val="001B4EDE"/>
    <w:rsid w:val="001B5A5D"/>
    <w:rsid w:val="001C1A4D"/>
    <w:rsid w:val="001C1CE5"/>
    <w:rsid w:val="001C2CBA"/>
    <w:rsid w:val="001C3D2A"/>
    <w:rsid w:val="001C726E"/>
    <w:rsid w:val="001D51BA"/>
    <w:rsid w:val="001D53E7"/>
    <w:rsid w:val="001D6342"/>
    <w:rsid w:val="001D6D53"/>
    <w:rsid w:val="001E00E5"/>
    <w:rsid w:val="001E58E2"/>
    <w:rsid w:val="001E69F2"/>
    <w:rsid w:val="001E7AED"/>
    <w:rsid w:val="001E7D31"/>
    <w:rsid w:val="001F3916"/>
    <w:rsid w:val="001F54C5"/>
    <w:rsid w:val="001F662C"/>
    <w:rsid w:val="001F6803"/>
    <w:rsid w:val="001F7074"/>
    <w:rsid w:val="00200490"/>
    <w:rsid w:val="00200C29"/>
    <w:rsid w:val="00200D74"/>
    <w:rsid w:val="00201F3A"/>
    <w:rsid w:val="00203F96"/>
    <w:rsid w:val="0020473F"/>
    <w:rsid w:val="002069B2"/>
    <w:rsid w:val="00207FA3"/>
    <w:rsid w:val="0021047C"/>
    <w:rsid w:val="00210EC4"/>
    <w:rsid w:val="00214DA8"/>
    <w:rsid w:val="00215423"/>
    <w:rsid w:val="002158FA"/>
    <w:rsid w:val="002179EA"/>
    <w:rsid w:val="00220600"/>
    <w:rsid w:val="002224DB"/>
    <w:rsid w:val="002227D2"/>
    <w:rsid w:val="00223FCB"/>
    <w:rsid w:val="002252C3"/>
    <w:rsid w:val="00225C54"/>
    <w:rsid w:val="00230765"/>
    <w:rsid w:val="00230D18"/>
    <w:rsid w:val="002319E4"/>
    <w:rsid w:val="002339BD"/>
    <w:rsid w:val="00235632"/>
    <w:rsid w:val="00235872"/>
    <w:rsid w:val="00237C0F"/>
    <w:rsid w:val="00241559"/>
    <w:rsid w:val="002435B3"/>
    <w:rsid w:val="002458EB"/>
    <w:rsid w:val="00246CE2"/>
    <w:rsid w:val="002500C8"/>
    <w:rsid w:val="0025466E"/>
    <w:rsid w:val="00255108"/>
    <w:rsid w:val="00257543"/>
    <w:rsid w:val="00260D12"/>
    <w:rsid w:val="002617E7"/>
    <w:rsid w:val="00263E03"/>
    <w:rsid w:val="00264228"/>
    <w:rsid w:val="00264334"/>
    <w:rsid w:val="0026473E"/>
    <w:rsid w:val="00266214"/>
    <w:rsid w:val="00267C83"/>
    <w:rsid w:val="0027144F"/>
    <w:rsid w:val="00271813"/>
    <w:rsid w:val="00271F3A"/>
    <w:rsid w:val="00272563"/>
    <w:rsid w:val="00273278"/>
    <w:rsid w:val="002737F4"/>
    <w:rsid w:val="002751C5"/>
    <w:rsid w:val="00275D6C"/>
    <w:rsid w:val="00276402"/>
    <w:rsid w:val="002805F5"/>
    <w:rsid w:val="00280751"/>
    <w:rsid w:val="00280965"/>
    <w:rsid w:val="00281F9D"/>
    <w:rsid w:val="0028280A"/>
    <w:rsid w:val="00286ACD"/>
    <w:rsid w:val="00286D10"/>
    <w:rsid w:val="00287838"/>
    <w:rsid w:val="002907B5"/>
    <w:rsid w:val="002910DE"/>
    <w:rsid w:val="00291559"/>
    <w:rsid w:val="00292EB7"/>
    <w:rsid w:val="00296227"/>
    <w:rsid w:val="00296F44"/>
    <w:rsid w:val="0029777D"/>
    <w:rsid w:val="002A055E"/>
    <w:rsid w:val="002A1D4E"/>
    <w:rsid w:val="002A2869"/>
    <w:rsid w:val="002A390F"/>
    <w:rsid w:val="002B24D6"/>
    <w:rsid w:val="002B39DD"/>
    <w:rsid w:val="002C1B64"/>
    <w:rsid w:val="002C1C98"/>
    <w:rsid w:val="002C3A3E"/>
    <w:rsid w:val="002C41E6"/>
    <w:rsid w:val="002C69C2"/>
    <w:rsid w:val="002C6C20"/>
    <w:rsid w:val="002D071A"/>
    <w:rsid w:val="002D34B2"/>
    <w:rsid w:val="002D48B0"/>
    <w:rsid w:val="002D5B37"/>
    <w:rsid w:val="002D6451"/>
    <w:rsid w:val="002D6B7A"/>
    <w:rsid w:val="002D7637"/>
    <w:rsid w:val="002D7784"/>
    <w:rsid w:val="002E17F2"/>
    <w:rsid w:val="002E52DF"/>
    <w:rsid w:val="002E5D16"/>
    <w:rsid w:val="002E5E84"/>
    <w:rsid w:val="002E7CAE"/>
    <w:rsid w:val="002F0ED7"/>
    <w:rsid w:val="002F2045"/>
    <w:rsid w:val="002F2771"/>
    <w:rsid w:val="002F3525"/>
    <w:rsid w:val="002F37A9"/>
    <w:rsid w:val="00300522"/>
    <w:rsid w:val="0030160D"/>
    <w:rsid w:val="00301CE6"/>
    <w:rsid w:val="0030256B"/>
    <w:rsid w:val="003038C2"/>
    <w:rsid w:val="0030501F"/>
    <w:rsid w:val="00305C15"/>
    <w:rsid w:val="00305C55"/>
    <w:rsid w:val="00306712"/>
    <w:rsid w:val="00307BA1"/>
    <w:rsid w:val="00307C58"/>
    <w:rsid w:val="00311702"/>
    <w:rsid w:val="00311B9B"/>
    <w:rsid w:val="00311E82"/>
    <w:rsid w:val="00312A06"/>
    <w:rsid w:val="00313FD6"/>
    <w:rsid w:val="003143BD"/>
    <w:rsid w:val="00315363"/>
    <w:rsid w:val="00315A44"/>
    <w:rsid w:val="00315BAC"/>
    <w:rsid w:val="00315BBD"/>
    <w:rsid w:val="00315CBD"/>
    <w:rsid w:val="00315FA3"/>
    <w:rsid w:val="00317C62"/>
    <w:rsid w:val="003203ED"/>
    <w:rsid w:val="00320B47"/>
    <w:rsid w:val="00321E8E"/>
    <w:rsid w:val="0032224B"/>
    <w:rsid w:val="00322C9F"/>
    <w:rsid w:val="00324D23"/>
    <w:rsid w:val="00325045"/>
    <w:rsid w:val="00327151"/>
    <w:rsid w:val="0032778B"/>
    <w:rsid w:val="00331751"/>
    <w:rsid w:val="00331E66"/>
    <w:rsid w:val="00333F28"/>
    <w:rsid w:val="00334579"/>
    <w:rsid w:val="00335858"/>
    <w:rsid w:val="00336BDA"/>
    <w:rsid w:val="00342BD7"/>
    <w:rsid w:val="00342BF9"/>
    <w:rsid w:val="00344F6B"/>
    <w:rsid w:val="00346DB5"/>
    <w:rsid w:val="003477B1"/>
    <w:rsid w:val="00357380"/>
    <w:rsid w:val="00357413"/>
    <w:rsid w:val="003602D9"/>
    <w:rsid w:val="003604CE"/>
    <w:rsid w:val="00360654"/>
    <w:rsid w:val="00367504"/>
    <w:rsid w:val="0036785D"/>
    <w:rsid w:val="00370E47"/>
    <w:rsid w:val="00374063"/>
    <w:rsid w:val="003742AC"/>
    <w:rsid w:val="00377117"/>
    <w:rsid w:val="00377CE1"/>
    <w:rsid w:val="00381CEC"/>
    <w:rsid w:val="00382A6A"/>
    <w:rsid w:val="00385BF0"/>
    <w:rsid w:val="003877F6"/>
    <w:rsid w:val="003937AE"/>
    <w:rsid w:val="003939FF"/>
    <w:rsid w:val="00394BBB"/>
    <w:rsid w:val="003951A6"/>
    <w:rsid w:val="003A1CBA"/>
    <w:rsid w:val="003A2223"/>
    <w:rsid w:val="003A2A0F"/>
    <w:rsid w:val="003A3224"/>
    <w:rsid w:val="003A3C8C"/>
    <w:rsid w:val="003A3E66"/>
    <w:rsid w:val="003A45A1"/>
    <w:rsid w:val="003A5B0A"/>
    <w:rsid w:val="003A6BAC"/>
    <w:rsid w:val="003A70A4"/>
    <w:rsid w:val="003A7EF3"/>
    <w:rsid w:val="003B159C"/>
    <w:rsid w:val="003B369F"/>
    <w:rsid w:val="003B36A3"/>
    <w:rsid w:val="003B3BCC"/>
    <w:rsid w:val="003B53B6"/>
    <w:rsid w:val="003B5470"/>
    <w:rsid w:val="003B64BB"/>
    <w:rsid w:val="003B7FE5"/>
    <w:rsid w:val="003C11C8"/>
    <w:rsid w:val="003C2702"/>
    <w:rsid w:val="003C6466"/>
    <w:rsid w:val="003C7806"/>
    <w:rsid w:val="003C7932"/>
    <w:rsid w:val="003D109F"/>
    <w:rsid w:val="003D2478"/>
    <w:rsid w:val="003D3C45"/>
    <w:rsid w:val="003D5B1F"/>
    <w:rsid w:val="003D62E9"/>
    <w:rsid w:val="003E0F22"/>
    <w:rsid w:val="003E15FA"/>
    <w:rsid w:val="003E41AE"/>
    <w:rsid w:val="003E55E4"/>
    <w:rsid w:val="003E6A86"/>
    <w:rsid w:val="003E74E3"/>
    <w:rsid w:val="003F05C7"/>
    <w:rsid w:val="003F0646"/>
    <w:rsid w:val="003F14AE"/>
    <w:rsid w:val="003F2CD4"/>
    <w:rsid w:val="003F5F2D"/>
    <w:rsid w:val="003F618C"/>
    <w:rsid w:val="003F6BBE"/>
    <w:rsid w:val="003F7459"/>
    <w:rsid w:val="0040000E"/>
    <w:rsid w:val="004000AB"/>
    <w:rsid w:val="004000E8"/>
    <w:rsid w:val="0040012F"/>
    <w:rsid w:val="00402404"/>
    <w:rsid w:val="00402E2B"/>
    <w:rsid w:val="00403808"/>
    <w:rsid w:val="0040512B"/>
    <w:rsid w:val="00405133"/>
    <w:rsid w:val="0040573E"/>
    <w:rsid w:val="00405CA5"/>
    <w:rsid w:val="00407509"/>
    <w:rsid w:val="00407610"/>
    <w:rsid w:val="00407CD3"/>
    <w:rsid w:val="00410134"/>
    <w:rsid w:val="004105CD"/>
    <w:rsid w:val="00410B72"/>
    <w:rsid w:val="00410EB4"/>
    <w:rsid w:val="00410F18"/>
    <w:rsid w:val="00411B40"/>
    <w:rsid w:val="0041263E"/>
    <w:rsid w:val="00413AAC"/>
    <w:rsid w:val="00413C81"/>
    <w:rsid w:val="00413E92"/>
    <w:rsid w:val="00421105"/>
    <w:rsid w:val="00421DD8"/>
    <w:rsid w:val="00422AA4"/>
    <w:rsid w:val="004242F4"/>
    <w:rsid w:val="0042475A"/>
    <w:rsid w:val="004253EE"/>
    <w:rsid w:val="004269CC"/>
    <w:rsid w:val="00427248"/>
    <w:rsid w:val="00431EF9"/>
    <w:rsid w:val="00436540"/>
    <w:rsid w:val="00437447"/>
    <w:rsid w:val="00441A92"/>
    <w:rsid w:val="004430BC"/>
    <w:rsid w:val="004431DC"/>
    <w:rsid w:val="00444AA5"/>
    <w:rsid w:val="00444F56"/>
    <w:rsid w:val="00446020"/>
    <w:rsid w:val="00446488"/>
    <w:rsid w:val="004517AA"/>
    <w:rsid w:val="00452CAC"/>
    <w:rsid w:val="00453323"/>
    <w:rsid w:val="00456CA2"/>
    <w:rsid w:val="00457565"/>
    <w:rsid w:val="00457B71"/>
    <w:rsid w:val="004608C3"/>
    <w:rsid w:val="0046156A"/>
    <w:rsid w:val="004666DC"/>
    <w:rsid w:val="004669E2"/>
    <w:rsid w:val="00467D0C"/>
    <w:rsid w:val="00470C31"/>
    <w:rsid w:val="00471DE0"/>
    <w:rsid w:val="0047339F"/>
    <w:rsid w:val="004734D0"/>
    <w:rsid w:val="0047556B"/>
    <w:rsid w:val="00475ECD"/>
    <w:rsid w:val="00477768"/>
    <w:rsid w:val="00480142"/>
    <w:rsid w:val="0048071B"/>
    <w:rsid w:val="00486ADE"/>
    <w:rsid w:val="0048769F"/>
    <w:rsid w:val="00492BC5"/>
    <w:rsid w:val="00495A9A"/>
    <w:rsid w:val="00495D52"/>
    <w:rsid w:val="004964F1"/>
    <w:rsid w:val="004A16BC"/>
    <w:rsid w:val="004A2315"/>
    <w:rsid w:val="004A2B94"/>
    <w:rsid w:val="004A5D31"/>
    <w:rsid w:val="004A7CFC"/>
    <w:rsid w:val="004B258F"/>
    <w:rsid w:val="004B3EF4"/>
    <w:rsid w:val="004B45BE"/>
    <w:rsid w:val="004B4ED5"/>
    <w:rsid w:val="004B6F6A"/>
    <w:rsid w:val="004B7C0C"/>
    <w:rsid w:val="004C3898"/>
    <w:rsid w:val="004C7C06"/>
    <w:rsid w:val="004D30D7"/>
    <w:rsid w:val="004D355B"/>
    <w:rsid w:val="004D36B1"/>
    <w:rsid w:val="004D61E0"/>
    <w:rsid w:val="004D7EBD"/>
    <w:rsid w:val="004E0A82"/>
    <w:rsid w:val="004E2680"/>
    <w:rsid w:val="004E28F9"/>
    <w:rsid w:val="004E462E"/>
    <w:rsid w:val="004E56DC"/>
    <w:rsid w:val="004E76F4"/>
    <w:rsid w:val="004F0B4E"/>
    <w:rsid w:val="004F0B6C"/>
    <w:rsid w:val="004F179E"/>
    <w:rsid w:val="004F2078"/>
    <w:rsid w:val="004F4DA3"/>
    <w:rsid w:val="004F7D0A"/>
    <w:rsid w:val="005023A5"/>
    <w:rsid w:val="0050544E"/>
    <w:rsid w:val="00506557"/>
    <w:rsid w:val="0050677A"/>
    <w:rsid w:val="005108D8"/>
    <w:rsid w:val="005116F9"/>
    <w:rsid w:val="00511BA8"/>
    <w:rsid w:val="005125A6"/>
    <w:rsid w:val="00514599"/>
    <w:rsid w:val="00514A1E"/>
    <w:rsid w:val="00514C8B"/>
    <w:rsid w:val="005153A7"/>
    <w:rsid w:val="0052102F"/>
    <w:rsid w:val="005219CF"/>
    <w:rsid w:val="0053109D"/>
    <w:rsid w:val="00532A69"/>
    <w:rsid w:val="00534B59"/>
    <w:rsid w:val="005350D4"/>
    <w:rsid w:val="00536759"/>
    <w:rsid w:val="00536E7A"/>
    <w:rsid w:val="00537C62"/>
    <w:rsid w:val="00537E35"/>
    <w:rsid w:val="00541165"/>
    <w:rsid w:val="005423B0"/>
    <w:rsid w:val="00546970"/>
    <w:rsid w:val="00550751"/>
    <w:rsid w:val="00551855"/>
    <w:rsid w:val="00554E19"/>
    <w:rsid w:val="005550B9"/>
    <w:rsid w:val="0055706C"/>
    <w:rsid w:val="0056121F"/>
    <w:rsid w:val="00563B3E"/>
    <w:rsid w:val="005653F6"/>
    <w:rsid w:val="00572505"/>
    <w:rsid w:val="00572869"/>
    <w:rsid w:val="00572B3C"/>
    <w:rsid w:val="0058004B"/>
    <w:rsid w:val="00582809"/>
    <w:rsid w:val="00583E9A"/>
    <w:rsid w:val="00586B02"/>
    <w:rsid w:val="0058798C"/>
    <w:rsid w:val="005879E4"/>
    <w:rsid w:val="005900FA"/>
    <w:rsid w:val="0059325C"/>
    <w:rsid w:val="005935A4"/>
    <w:rsid w:val="005948C2"/>
    <w:rsid w:val="00595DCA"/>
    <w:rsid w:val="00597744"/>
    <w:rsid w:val="0059779B"/>
    <w:rsid w:val="00597B36"/>
    <w:rsid w:val="005A209A"/>
    <w:rsid w:val="005A662D"/>
    <w:rsid w:val="005A7D19"/>
    <w:rsid w:val="005B1409"/>
    <w:rsid w:val="005B35D7"/>
    <w:rsid w:val="005B392A"/>
    <w:rsid w:val="005B3AA3"/>
    <w:rsid w:val="005B6F83"/>
    <w:rsid w:val="005C15C3"/>
    <w:rsid w:val="005C1B23"/>
    <w:rsid w:val="005C60ED"/>
    <w:rsid w:val="005C74FB"/>
    <w:rsid w:val="005D0822"/>
    <w:rsid w:val="005D1602"/>
    <w:rsid w:val="005D2C6B"/>
    <w:rsid w:val="005D2CD8"/>
    <w:rsid w:val="005D4982"/>
    <w:rsid w:val="005D75F0"/>
    <w:rsid w:val="005E3298"/>
    <w:rsid w:val="005E385F"/>
    <w:rsid w:val="005E5B81"/>
    <w:rsid w:val="005F1F83"/>
    <w:rsid w:val="005F2830"/>
    <w:rsid w:val="005F2CB1"/>
    <w:rsid w:val="005F3025"/>
    <w:rsid w:val="005F55E6"/>
    <w:rsid w:val="005F618C"/>
    <w:rsid w:val="005F6634"/>
    <w:rsid w:val="005F70BD"/>
    <w:rsid w:val="005F7501"/>
    <w:rsid w:val="0060283C"/>
    <w:rsid w:val="006042E2"/>
    <w:rsid w:val="00604F14"/>
    <w:rsid w:val="0060644F"/>
    <w:rsid w:val="00611B83"/>
    <w:rsid w:val="00613257"/>
    <w:rsid w:val="00616073"/>
    <w:rsid w:val="00620A71"/>
    <w:rsid w:val="00620D80"/>
    <w:rsid w:val="006234A6"/>
    <w:rsid w:val="00623EDB"/>
    <w:rsid w:val="006257F0"/>
    <w:rsid w:val="00630001"/>
    <w:rsid w:val="006301AB"/>
    <w:rsid w:val="006311B3"/>
    <w:rsid w:val="0063284C"/>
    <w:rsid w:val="00636398"/>
    <w:rsid w:val="006368D3"/>
    <w:rsid w:val="006377EC"/>
    <w:rsid w:val="0064151F"/>
    <w:rsid w:val="00641533"/>
    <w:rsid w:val="006419B3"/>
    <w:rsid w:val="0064208D"/>
    <w:rsid w:val="006425F0"/>
    <w:rsid w:val="00643475"/>
    <w:rsid w:val="0064348E"/>
    <w:rsid w:val="0064396A"/>
    <w:rsid w:val="0064624E"/>
    <w:rsid w:val="006502DC"/>
    <w:rsid w:val="00650754"/>
    <w:rsid w:val="006508E1"/>
    <w:rsid w:val="00650AB9"/>
    <w:rsid w:val="006526F5"/>
    <w:rsid w:val="00652825"/>
    <w:rsid w:val="00652BAB"/>
    <w:rsid w:val="00655733"/>
    <w:rsid w:val="00655ACD"/>
    <w:rsid w:val="00656A92"/>
    <w:rsid w:val="00656DDE"/>
    <w:rsid w:val="0066011D"/>
    <w:rsid w:val="006607C0"/>
    <w:rsid w:val="006613A6"/>
    <w:rsid w:val="006627A2"/>
    <w:rsid w:val="006634E6"/>
    <w:rsid w:val="006655EE"/>
    <w:rsid w:val="00667EE7"/>
    <w:rsid w:val="00670922"/>
    <w:rsid w:val="00670BE1"/>
    <w:rsid w:val="0067187B"/>
    <w:rsid w:val="0067218F"/>
    <w:rsid w:val="00672B4F"/>
    <w:rsid w:val="006741F2"/>
    <w:rsid w:val="00674CC3"/>
    <w:rsid w:val="00675C72"/>
    <w:rsid w:val="006771F9"/>
    <w:rsid w:val="006776D7"/>
    <w:rsid w:val="00681003"/>
    <w:rsid w:val="006817C9"/>
    <w:rsid w:val="00683ECE"/>
    <w:rsid w:val="00686A39"/>
    <w:rsid w:val="00686E4F"/>
    <w:rsid w:val="00687505"/>
    <w:rsid w:val="006879E3"/>
    <w:rsid w:val="00687F5B"/>
    <w:rsid w:val="006903CE"/>
    <w:rsid w:val="006939A5"/>
    <w:rsid w:val="00695FC2"/>
    <w:rsid w:val="00696949"/>
    <w:rsid w:val="00696C81"/>
    <w:rsid w:val="00697052"/>
    <w:rsid w:val="006A200D"/>
    <w:rsid w:val="006A3A23"/>
    <w:rsid w:val="006A46FB"/>
    <w:rsid w:val="006A57D2"/>
    <w:rsid w:val="006A5E28"/>
    <w:rsid w:val="006A6173"/>
    <w:rsid w:val="006A697B"/>
    <w:rsid w:val="006A7AFF"/>
    <w:rsid w:val="006B1816"/>
    <w:rsid w:val="006B2099"/>
    <w:rsid w:val="006B23CE"/>
    <w:rsid w:val="006B50CF"/>
    <w:rsid w:val="006B685D"/>
    <w:rsid w:val="006B7C6D"/>
    <w:rsid w:val="006C03B8"/>
    <w:rsid w:val="006C2404"/>
    <w:rsid w:val="006C256C"/>
    <w:rsid w:val="006C5EC9"/>
    <w:rsid w:val="006C6059"/>
    <w:rsid w:val="006C7522"/>
    <w:rsid w:val="006D18E6"/>
    <w:rsid w:val="006D2DE6"/>
    <w:rsid w:val="006D6F08"/>
    <w:rsid w:val="006D7918"/>
    <w:rsid w:val="006E062C"/>
    <w:rsid w:val="006E1C82"/>
    <w:rsid w:val="006E28B7"/>
    <w:rsid w:val="006E2A9B"/>
    <w:rsid w:val="006E3310"/>
    <w:rsid w:val="006E3CA2"/>
    <w:rsid w:val="006E4E39"/>
    <w:rsid w:val="006E55A4"/>
    <w:rsid w:val="006E565E"/>
    <w:rsid w:val="006E673D"/>
    <w:rsid w:val="006E7D3B"/>
    <w:rsid w:val="006F1B70"/>
    <w:rsid w:val="006F251C"/>
    <w:rsid w:val="006F341D"/>
    <w:rsid w:val="006F3532"/>
    <w:rsid w:val="006F3CDE"/>
    <w:rsid w:val="006F58D4"/>
    <w:rsid w:val="006F6582"/>
    <w:rsid w:val="0070346E"/>
    <w:rsid w:val="00704EDB"/>
    <w:rsid w:val="00706101"/>
    <w:rsid w:val="00707072"/>
    <w:rsid w:val="00707D61"/>
    <w:rsid w:val="00707EA8"/>
    <w:rsid w:val="007109D5"/>
    <w:rsid w:val="00711378"/>
    <w:rsid w:val="00712287"/>
    <w:rsid w:val="00712772"/>
    <w:rsid w:val="0071471D"/>
    <w:rsid w:val="0071479D"/>
    <w:rsid w:val="007148D3"/>
    <w:rsid w:val="00715B9A"/>
    <w:rsid w:val="007175B5"/>
    <w:rsid w:val="00723552"/>
    <w:rsid w:val="00724DFE"/>
    <w:rsid w:val="007257D0"/>
    <w:rsid w:val="0072644D"/>
    <w:rsid w:val="00726EA6"/>
    <w:rsid w:val="00727208"/>
    <w:rsid w:val="00727680"/>
    <w:rsid w:val="007325FB"/>
    <w:rsid w:val="007348B1"/>
    <w:rsid w:val="007362A6"/>
    <w:rsid w:val="00736D7D"/>
    <w:rsid w:val="007403E3"/>
    <w:rsid w:val="00740E58"/>
    <w:rsid w:val="00741CAE"/>
    <w:rsid w:val="00742F55"/>
    <w:rsid w:val="007445A0"/>
    <w:rsid w:val="0074524B"/>
    <w:rsid w:val="00745261"/>
    <w:rsid w:val="00745B66"/>
    <w:rsid w:val="00745EAA"/>
    <w:rsid w:val="0074721F"/>
    <w:rsid w:val="00747D8B"/>
    <w:rsid w:val="00751228"/>
    <w:rsid w:val="00752E85"/>
    <w:rsid w:val="00754C30"/>
    <w:rsid w:val="007571E1"/>
    <w:rsid w:val="00757DF3"/>
    <w:rsid w:val="007604B2"/>
    <w:rsid w:val="00760530"/>
    <w:rsid w:val="00760B09"/>
    <w:rsid w:val="00764100"/>
    <w:rsid w:val="00764765"/>
    <w:rsid w:val="00765281"/>
    <w:rsid w:val="0076567E"/>
    <w:rsid w:val="007663FC"/>
    <w:rsid w:val="007668F8"/>
    <w:rsid w:val="00766BAD"/>
    <w:rsid w:val="007670E7"/>
    <w:rsid w:val="007729A2"/>
    <w:rsid w:val="007755F2"/>
    <w:rsid w:val="00776971"/>
    <w:rsid w:val="00780A80"/>
    <w:rsid w:val="00780C43"/>
    <w:rsid w:val="0078177E"/>
    <w:rsid w:val="0078304C"/>
    <w:rsid w:val="007832CE"/>
    <w:rsid w:val="00783673"/>
    <w:rsid w:val="0078464C"/>
    <w:rsid w:val="00785490"/>
    <w:rsid w:val="00787E16"/>
    <w:rsid w:val="00790166"/>
    <w:rsid w:val="0079067C"/>
    <w:rsid w:val="007925EA"/>
    <w:rsid w:val="00793686"/>
    <w:rsid w:val="00793CD8"/>
    <w:rsid w:val="007942D2"/>
    <w:rsid w:val="00794E1D"/>
    <w:rsid w:val="00795C92"/>
    <w:rsid w:val="00796231"/>
    <w:rsid w:val="007A1CB3"/>
    <w:rsid w:val="007A306F"/>
    <w:rsid w:val="007A3D6A"/>
    <w:rsid w:val="007A43A6"/>
    <w:rsid w:val="007A58A6"/>
    <w:rsid w:val="007A5A7F"/>
    <w:rsid w:val="007A5BED"/>
    <w:rsid w:val="007A6AC6"/>
    <w:rsid w:val="007A711D"/>
    <w:rsid w:val="007B09C5"/>
    <w:rsid w:val="007B3D2D"/>
    <w:rsid w:val="007B4350"/>
    <w:rsid w:val="007B50AE"/>
    <w:rsid w:val="007B51DF"/>
    <w:rsid w:val="007B7330"/>
    <w:rsid w:val="007C05DD"/>
    <w:rsid w:val="007C0E55"/>
    <w:rsid w:val="007C1C9A"/>
    <w:rsid w:val="007C3D18"/>
    <w:rsid w:val="007C3E03"/>
    <w:rsid w:val="007C4DBD"/>
    <w:rsid w:val="007C60BF"/>
    <w:rsid w:val="007C6A07"/>
    <w:rsid w:val="007C75A1"/>
    <w:rsid w:val="007C77A5"/>
    <w:rsid w:val="007D04E5"/>
    <w:rsid w:val="007D0959"/>
    <w:rsid w:val="007D5220"/>
    <w:rsid w:val="007D5901"/>
    <w:rsid w:val="007D7526"/>
    <w:rsid w:val="007E2BB8"/>
    <w:rsid w:val="007E4610"/>
    <w:rsid w:val="007E4715"/>
    <w:rsid w:val="007E505B"/>
    <w:rsid w:val="007E7091"/>
    <w:rsid w:val="007F0A14"/>
    <w:rsid w:val="007F35BD"/>
    <w:rsid w:val="007F4C4E"/>
    <w:rsid w:val="007F6E1C"/>
    <w:rsid w:val="007F7627"/>
    <w:rsid w:val="007F7832"/>
    <w:rsid w:val="00802C0E"/>
    <w:rsid w:val="00803FAE"/>
    <w:rsid w:val="0080605F"/>
    <w:rsid w:val="00807786"/>
    <w:rsid w:val="00810AD2"/>
    <w:rsid w:val="00811FCB"/>
    <w:rsid w:val="00812652"/>
    <w:rsid w:val="00812DD7"/>
    <w:rsid w:val="00814F60"/>
    <w:rsid w:val="008158D6"/>
    <w:rsid w:val="00817196"/>
    <w:rsid w:val="0082107E"/>
    <w:rsid w:val="008235DB"/>
    <w:rsid w:val="00824AB4"/>
    <w:rsid w:val="008255F3"/>
    <w:rsid w:val="00825C42"/>
    <w:rsid w:val="00825D25"/>
    <w:rsid w:val="00827D6F"/>
    <w:rsid w:val="008304F1"/>
    <w:rsid w:val="00832F73"/>
    <w:rsid w:val="00835166"/>
    <w:rsid w:val="00835213"/>
    <w:rsid w:val="00835DAD"/>
    <w:rsid w:val="00835F53"/>
    <w:rsid w:val="008362FD"/>
    <w:rsid w:val="008376AC"/>
    <w:rsid w:val="00840296"/>
    <w:rsid w:val="00843099"/>
    <w:rsid w:val="00843BA0"/>
    <w:rsid w:val="008444E8"/>
    <w:rsid w:val="00844E80"/>
    <w:rsid w:val="008460D1"/>
    <w:rsid w:val="00846B07"/>
    <w:rsid w:val="00846FE7"/>
    <w:rsid w:val="0085047C"/>
    <w:rsid w:val="00851A3E"/>
    <w:rsid w:val="008550D9"/>
    <w:rsid w:val="0085548D"/>
    <w:rsid w:val="00856911"/>
    <w:rsid w:val="00864123"/>
    <w:rsid w:val="008677FD"/>
    <w:rsid w:val="008706D4"/>
    <w:rsid w:val="00870AE6"/>
    <w:rsid w:val="00870F8A"/>
    <w:rsid w:val="008719A4"/>
    <w:rsid w:val="00871D23"/>
    <w:rsid w:val="00873A11"/>
    <w:rsid w:val="00874312"/>
    <w:rsid w:val="0087437C"/>
    <w:rsid w:val="00875CD7"/>
    <w:rsid w:val="00876B1C"/>
    <w:rsid w:val="00876B4D"/>
    <w:rsid w:val="00877F18"/>
    <w:rsid w:val="00880516"/>
    <w:rsid w:val="00881EBB"/>
    <w:rsid w:val="00883EEE"/>
    <w:rsid w:val="008878D9"/>
    <w:rsid w:val="00890ACE"/>
    <w:rsid w:val="00891379"/>
    <w:rsid w:val="00892369"/>
    <w:rsid w:val="008941E3"/>
    <w:rsid w:val="00894A88"/>
    <w:rsid w:val="00895386"/>
    <w:rsid w:val="008966E5"/>
    <w:rsid w:val="00896770"/>
    <w:rsid w:val="008A21FF"/>
    <w:rsid w:val="008A2CE2"/>
    <w:rsid w:val="008A30AC"/>
    <w:rsid w:val="008A44B8"/>
    <w:rsid w:val="008A51A8"/>
    <w:rsid w:val="008A54C7"/>
    <w:rsid w:val="008A77D8"/>
    <w:rsid w:val="008B0483"/>
    <w:rsid w:val="008B120C"/>
    <w:rsid w:val="008B3585"/>
    <w:rsid w:val="008B51A0"/>
    <w:rsid w:val="008B592A"/>
    <w:rsid w:val="008B7B5C"/>
    <w:rsid w:val="008C02F0"/>
    <w:rsid w:val="008C0C99"/>
    <w:rsid w:val="008C2017"/>
    <w:rsid w:val="008C4958"/>
    <w:rsid w:val="008C4BAA"/>
    <w:rsid w:val="008C6AE8"/>
    <w:rsid w:val="008C7573"/>
    <w:rsid w:val="008D00A5"/>
    <w:rsid w:val="008D1407"/>
    <w:rsid w:val="008D34F1"/>
    <w:rsid w:val="008D39D8"/>
    <w:rsid w:val="008D4B54"/>
    <w:rsid w:val="008D6D1A"/>
    <w:rsid w:val="008D717A"/>
    <w:rsid w:val="008E00E5"/>
    <w:rsid w:val="008E065E"/>
    <w:rsid w:val="008E0927"/>
    <w:rsid w:val="008E1909"/>
    <w:rsid w:val="008E309F"/>
    <w:rsid w:val="008E40D4"/>
    <w:rsid w:val="008F1C4E"/>
    <w:rsid w:val="008F1EAB"/>
    <w:rsid w:val="008F33DC"/>
    <w:rsid w:val="008F46ED"/>
    <w:rsid w:val="008F477F"/>
    <w:rsid w:val="008F52E7"/>
    <w:rsid w:val="008F720D"/>
    <w:rsid w:val="00900588"/>
    <w:rsid w:val="00902350"/>
    <w:rsid w:val="00902743"/>
    <w:rsid w:val="0090336B"/>
    <w:rsid w:val="009053AA"/>
    <w:rsid w:val="0090659D"/>
    <w:rsid w:val="00906939"/>
    <w:rsid w:val="0090717F"/>
    <w:rsid w:val="00910144"/>
    <w:rsid w:val="00910B7D"/>
    <w:rsid w:val="00911DFB"/>
    <w:rsid w:val="00912337"/>
    <w:rsid w:val="009131BC"/>
    <w:rsid w:val="009139D9"/>
    <w:rsid w:val="00914AD8"/>
    <w:rsid w:val="00916079"/>
    <w:rsid w:val="00917C78"/>
    <w:rsid w:val="00917CE9"/>
    <w:rsid w:val="00920BF2"/>
    <w:rsid w:val="00922010"/>
    <w:rsid w:val="00926C08"/>
    <w:rsid w:val="00927A62"/>
    <w:rsid w:val="00927BC3"/>
    <w:rsid w:val="00931BD9"/>
    <w:rsid w:val="009346BA"/>
    <w:rsid w:val="009368F3"/>
    <w:rsid w:val="00940C3C"/>
    <w:rsid w:val="0094108A"/>
    <w:rsid w:val="00941636"/>
    <w:rsid w:val="00942602"/>
    <w:rsid w:val="00943742"/>
    <w:rsid w:val="00945C05"/>
    <w:rsid w:val="00946945"/>
    <w:rsid w:val="00946AFB"/>
    <w:rsid w:val="00947713"/>
    <w:rsid w:val="009477CE"/>
    <w:rsid w:val="00950DE7"/>
    <w:rsid w:val="009512F4"/>
    <w:rsid w:val="0095151A"/>
    <w:rsid w:val="00952029"/>
    <w:rsid w:val="00953920"/>
    <w:rsid w:val="00953C36"/>
    <w:rsid w:val="00953D47"/>
    <w:rsid w:val="0095681E"/>
    <w:rsid w:val="009572D4"/>
    <w:rsid w:val="00960A25"/>
    <w:rsid w:val="00961921"/>
    <w:rsid w:val="0096430A"/>
    <w:rsid w:val="0096554B"/>
    <w:rsid w:val="0096584A"/>
    <w:rsid w:val="00971F08"/>
    <w:rsid w:val="00972DDD"/>
    <w:rsid w:val="0097589B"/>
    <w:rsid w:val="0097603D"/>
    <w:rsid w:val="00976294"/>
    <w:rsid w:val="00976949"/>
    <w:rsid w:val="00976C0D"/>
    <w:rsid w:val="00980477"/>
    <w:rsid w:val="0098239A"/>
    <w:rsid w:val="00985253"/>
    <w:rsid w:val="009853B3"/>
    <w:rsid w:val="00985F13"/>
    <w:rsid w:val="00990630"/>
    <w:rsid w:val="0099175B"/>
    <w:rsid w:val="00991761"/>
    <w:rsid w:val="009948B5"/>
    <w:rsid w:val="00994DCA"/>
    <w:rsid w:val="009960EC"/>
    <w:rsid w:val="009970DD"/>
    <w:rsid w:val="009A0FBA"/>
    <w:rsid w:val="009A1601"/>
    <w:rsid w:val="009A3BB6"/>
    <w:rsid w:val="009A3E51"/>
    <w:rsid w:val="009A462D"/>
    <w:rsid w:val="009A4AF5"/>
    <w:rsid w:val="009A5543"/>
    <w:rsid w:val="009A5CBA"/>
    <w:rsid w:val="009A7995"/>
    <w:rsid w:val="009B00E3"/>
    <w:rsid w:val="009B0BE6"/>
    <w:rsid w:val="009B1F30"/>
    <w:rsid w:val="009B3AC2"/>
    <w:rsid w:val="009B3FE7"/>
    <w:rsid w:val="009B4DF4"/>
    <w:rsid w:val="009B564E"/>
    <w:rsid w:val="009B6059"/>
    <w:rsid w:val="009B61DD"/>
    <w:rsid w:val="009B712B"/>
    <w:rsid w:val="009B7E87"/>
    <w:rsid w:val="009C0169"/>
    <w:rsid w:val="009C1649"/>
    <w:rsid w:val="009C2672"/>
    <w:rsid w:val="009C319A"/>
    <w:rsid w:val="009C403E"/>
    <w:rsid w:val="009C4126"/>
    <w:rsid w:val="009C7935"/>
    <w:rsid w:val="009D4FF0"/>
    <w:rsid w:val="009D703C"/>
    <w:rsid w:val="009D718F"/>
    <w:rsid w:val="009D72EC"/>
    <w:rsid w:val="009E068F"/>
    <w:rsid w:val="009E14E0"/>
    <w:rsid w:val="009E2F14"/>
    <w:rsid w:val="009E35DB"/>
    <w:rsid w:val="009E47A3"/>
    <w:rsid w:val="009E59B0"/>
    <w:rsid w:val="009E628F"/>
    <w:rsid w:val="009E6301"/>
    <w:rsid w:val="009E6EFB"/>
    <w:rsid w:val="009F0489"/>
    <w:rsid w:val="009F08F3"/>
    <w:rsid w:val="009F0969"/>
    <w:rsid w:val="009F1E3C"/>
    <w:rsid w:val="009F3292"/>
    <w:rsid w:val="009F3340"/>
    <w:rsid w:val="009F344F"/>
    <w:rsid w:val="009F4C7C"/>
    <w:rsid w:val="009F5EB9"/>
    <w:rsid w:val="009F6BBD"/>
    <w:rsid w:val="00A01FA7"/>
    <w:rsid w:val="00A02800"/>
    <w:rsid w:val="00A031D8"/>
    <w:rsid w:val="00A048A8"/>
    <w:rsid w:val="00A04F49"/>
    <w:rsid w:val="00A073A8"/>
    <w:rsid w:val="00A1031A"/>
    <w:rsid w:val="00A13390"/>
    <w:rsid w:val="00A1379D"/>
    <w:rsid w:val="00A13E54"/>
    <w:rsid w:val="00A17F63"/>
    <w:rsid w:val="00A2117D"/>
    <w:rsid w:val="00A217E5"/>
    <w:rsid w:val="00A2193B"/>
    <w:rsid w:val="00A2351A"/>
    <w:rsid w:val="00A2633C"/>
    <w:rsid w:val="00A264A9"/>
    <w:rsid w:val="00A26DCF"/>
    <w:rsid w:val="00A26E73"/>
    <w:rsid w:val="00A2763A"/>
    <w:rsid w:val="00A27785"/>
    <w:rsid w:val="00A30187"/>
    <w:rsid w:val="00A3448A"/>
    <w:rsid w:val="00A34708"/>
    <w:rsid w:val="00A35A2C"/>
    <w:rsid w:val="00A36297"/>
    <w:rsid w:val="00A41E2B"/>
    <w:rsid w:val="00A42BA0"/>
    <w:rsid w:val="00A436DE"/>
    <w:rsid w:val="00A45B74"/>
    <w:rsid w:val="00A528F4"/>
    <w:rsid w:val="00A52E1D"/>
    <w:rsid w:val="00A54188"/>
    <w:rsid w:val="00A61499"/>
    <w:rsid w:val="00A62A77"/>
    <w:rsid w:val="00A63483"/>
    <w:rsid w:val="00A648BB"/>
    <w:rsid w:val="00A657D7"/>
    <w:rsid w:val="00A660AC"/>
    <w:rsid w:val="00A67E6C"/>
    <w:rsid w:val="00A71B99"/>
    <w:rsid w:val="00A72116"/>
    <w:rsid w:val="00A739D0"/>
    <w:rsid w:val="00A761D4"/>
    <w:rsid w:val="00A77DF0"/>
    <w:rsid w:val="00A77EC4"/>
    <w:rsid w:val="00A8065A"/>
    <w:rsid w:val="00A90751"/>
    <w:rsid w:val="00A923ED"/>
    <w:rsid w:val="00A92879"/>
    <w:rsid w:val="00A9442A"/>
    <w:rsid w:val="00A958B7"/>
    <w:rsid w:val="00A96107"/>
    <w:rsid w:val="00A97A27"/>
    <w:rsid w:val="00AA016F"/>
    <w:rsid w:val="00AA1ED6"/>
    <w:rsid w:val="00AA3109"/>
    <w:rsid w:val="00AA4F98"/>
    <w:rsid w:val="00AA51D6"/>
    <w:rsid w:val="00AA5224"/>
    <w:rsid w:val="00AB0BC8"/>
    <w:rsid w:val="00AB11CA"/>
    <w:rsid w:val="00AB14D9"/>
    <w:rsid w:val="00AB2C69"/>
    <w:rsid w:val="00AB2FB9"/>
    <w:rsid w:val="00AB4AB8"/>
    <w:rsid w:val="00AB5CEE"/>
    <w:rsid w:val="00AB655E"/>
    <w:rsid w:val="00AB6C06"/>
    <w:rsid w:val="00AC007F"/>
    <w:rsid w:val="00AC1602"/>
    <w:rsid w:val="00AC1675"/>
    <w:rsid w:val="00AC2ECD"/>
    <w:rsid w:val="00AC3119"/>
    <w:rsid w:val="00AC3A67"/>
    <w:rsid w:val="00AC49FB"/>
    <w:rsid w:val="00AC56A4"/>
    <w:rsid w:val="00AC5A10"/>
    <w:rsid w:val="00AD0AA3"/>
    <w:rsid w:val="00AD2ED0"/>
    <w:rsid w:val="00AD3F94"/>
    <w:rsid w:val="00AD4A5A"/>
    <w:rsid w:val="00AE13B2"/>
    <w:rsid w:val="00AE27AC"/>
    <w:rsid w:val="00AE40E0"/>
    <w:rsid w:val="00AE4DBA"/>
    <w:rsid w:val="00AE4F07"/>
    <w:rsid w:val="00AF0DD7"/>
    <w:rsid w:val="00AF13E7"/>
    <w:rsid w:val="00AF1C5D"/>
    <w:rsid w:val="00AF42D7"/>
    <w:rsid w:val="00AF71E2"/>
    <w:rsid w:val="00AF7FB3"/>
    <w:rsid w:val="00B006FE"/>
    <w:rsid w:val="00B007CB"/>
    <w:rsid w:val="00B00EFD"/>
    <w:rsid w:val="00B02AA9"/>
    <w:rsid w:val="00B02FA3"/>
    <w:rsid w:val="00B042B1"/>
    <w:rsid w:val="00B05084"/>
    <w:rsid w:val="00B157F9"/>
    <w:rsid w:val="00B15AF2"/>
    <w:rsid w:val="00B175AB"/>
    <w:rsid w:val="00B20256"/>
    <w:rsid w:val="00B20D09"/>
    <w:rsid w:val="00B26C28"/>
    <w:rsid w:val="00B2763F"/>
    <w:rsid w:val="00B27AAC"/>
    <w:rsid w:val="00B30929"/>
    <w:rsid w:val="00B33AAC"/>
    <w:rsid w:val="00B36AFA"/>
    <w:rsid w:val="00B36E43"/>
    <w:rsid w:val="00B372AA"/>
    <w:rsid w:val="00B40268"/>
    <w:rsid w:val="00B40445"/>
    <w:rsid w:val="00B409E0"/>
    <w:rsid w:val="00B41888"/>
    <w:rsid w:val="00B45A52"/>
    <w:rsid w:val="00B46175"/>
    <w:rsid w:val="00B50179"/>
    <w:rsid w:val="00B548B7"/>
    <w:rsid w:val="00B5578E"/>
    <w:rsid w:val="00B664C7"/>
    <w:rsid w:val="00B665F7"/>
    <w:rsid w:val="00B739F6"/>
    <w:rsid w:val="00B81A6C"/>
    <w:rsid w:val="00B83EAF"/>
    <w:rsid w:val="00B84C41"/>
    <w:rsid w:val="00B85741"/>
    <w:rsid w:val="00B85DE5"/>
    <w:rsid w:val="00B86DA3"/>
    <w:rsid w:val="00B90F73"/>
    <w:rsid w:val="00B933B6"/>
    <w:rsid w:val="00B933E4"/>
    <w:rsid w:val="00B93B59"/>
    <w:rsid w:val="00B93FDC"/>
    <w:rsid w:val="00B9406A"/>
    <w:rsid w:val="00BA0820"/>
    <w:rsid w:val="00BA2173"/>
    <w:rsid w:val="00BA2280"/>
    <w:rsid w:val="00BA2A08"/>
    <w:rsid w:val="00BA4A05"/>
    <w:rsid w:val="00BA56D2"/>
    <w:rsid w:val="00BA76E0"/>
    <w:rsid w:val="00BB0916"/>
    <w:rsid w:val="00BB2843"/>
    <w:rsid w:val="00BB2A25"/>
    <w:rsid w:val="00BB51E7"/>
    <w:rsid w:val="00BB51E9"/>
    <w:rsid w:val="00BC0FDC"/>
    <w:rsid w:val="00BC14A7"/>
    <w:rsid w:val="00BC230F"/>
    <w:rsid w:val="00BC2B70"/>
    <w:rsid w:val="00BC3053"/>
    <w:rsid w:val="00BC4D2E"/>
    <w:rsid w:val="00BC67A7"/>
    <w:rsid w:val="00BC6933"/>
    <w:rsid w:val="00BD48AC"/>
    <w:rsid w:val="00BD5F1A"/>
    <w:rsid w:val="00BE1234"/>
    <w:rsid w:val="00BE1D55"/>
    <w:rsid w:val="00BE2FA6"/>
    <w:rsid w:val="00BE2FC1"/>
    <w:rsid w:val="00BE333F"/>
    <w:rsid w:val="00BE7406"/>
    <w:rsid w:val="00BE7603"/>
    <w:rsid w:val="00BF3279"/>
    <w:rsid w:val="00BF5465"/>
    <w:rsid w:val="00BF74C7"/>
    <w:rsid w:val="00C000B6"/>
    <w:rsid w:val="00C015F1"/>
    <w:rsid w:val="00C01F33"/>
    <w:rsid w:val="00C02AFC"/>
    <w:rsid w:val="00C02CC6"/>
    <w:rsid w:val="00C040F7"/>
    <w:rsid w:val="00C043D8"/>
    <w:rsid w:val="00C044AB"/>
    <w:rsid w:val="00C05706"/>
    <w:rsid w:val="00C062EE"/>
    <w:rsid w:val="00C07377"/>
    <w:rsid w:val="00C10478"/>
    <w:rsid w:val="00C11433"/>
    <w:rsid w:val="00C12107"/>
    <w:rsid w:val="00C14D4B"/>
    <w:rsid w:val="00C154BB"/>
    <w:rsid w:val="00C24197"/>
    <w:rsid w:val="00C242DB"/>
    <w:rsid w:val="00C26CE3"/>
    <w:rsid w:val="00C274B6"/>
    <w:rsid w:val="00C279B5"/>
    <w:rsid w:val="00C27C45"/>
    <w:rsid w:val="00C3109E"/>
    <w:rsid w:val="00C32ED6"/>
    <w:rsid w:val="00C33393"/>
    <w:rsid w:val="00C36E4C"/>
    <w:rsid w:val="00C3719D"/>
    <w:rsid w:val="00C37CB2"/>
    <w:rsid w:val="00C41009"/>
    <w:rsid w:val="00C45F50"/>
    <w:rsid w:val="00C473A5"/>
    <w:rsid w:val="00C53F35"/>
    <w:rsid w:val="00C54995"/>
    <w:rsid w:val="00C54D41"/>
    <w:rsid w:val="00C562CF"/>
    <w:rsid w:val="00C6038F"/>
    <w:rsid w:val="00C60783"/>
    <w:rsid w:val="00C61075"/>
    <w:rsid w:val="00C63CAB"/>
    <w:rsid w:val="00C64672"/>
    <w:rsid w:val="00C65BBD"/>
    <w:rsid w:val="00C70697"/>
    <w:rsid w:val="00C70AF8"/>
    <w:rsid w:val="00C72093"/>
    <w:rsid w:val="00C72EF4"/>
    <w:rsid w:val="00C744FE"/>
    <w:rsid w:val="00C74808"/>
    <w:rsid w:val="00C74E23"/>
    <w:rsid w:val="00C75CBF"/>
    <w:rsid w:val="00C75D2F"/>
    <w:rsid w:val="00C767BE"/>
    <w:rsid w:val="00C76974"/>
    <w:rsid w:val="00C76E3C"/>
    <w:rsid w:val="00C77CF1"/>
    <w:rsid w:val="00C81568"/>
    <w:rsid w:val="00C826E5"/>
    <w:rsid w:val="00C871B4"/>
    <w:rsid w:val="00C87A5B"/>
    <w:rsid w:val="00C9027A"/>
    <w:rsid w:val="00C904F3"/>
    <w:rsid w:val="00C9068E"/>
    <w:rsid w:val="00C93814"/>
    <w:rsid w:val="00C93C4B"/>
    <w:rsid w:val="00C944AB"/>
    <w:rsid w:val="00C95B40"/>
    <w:rsid w:val="00CA1ED8"/>
    <w:rsid w:val="00CA24EF"/>
    <w:rsid w:val="00CA329F"/>
    <w:rsid w:val="00CB136F"/>
    <w:rsid w:val="00CB1F63"/>
    <w:rsid w:val="00CB7170"/>
    <w:rsid w:val="00CC03EE"/>
    <w:rsid w:val="00CC040E"/>
    <w:rsid w:val="00CC111F"/>
    <w:rsid w:val="00CC2011"/>
    <w:rsid w:val="00CC2C3E"/>
    <w:rsid w:val="00CC3EA0"/>
    <w:rsid w:val="00CC7B45"/>
    <w:rsid w:val="00CD0B65"/>
    <w:rsid w:val="00CD1188"/>
    <w:rsid w:val="00CD1E2D"/>
    <w:rsid w:val="00CD2143"/>
    <w:rsid w:val="00CD2ED1"/>
    <w:rsid w:val="00CD337B"/>
    <w:rsid w:val="00CD3BDD"/>
    <w:rsid w:val="00CE0424"/>
    <w:rsid w:val="00CE0BF7"/>
    <w:rsid w:val="00CE10C7"/>
    <w:rsid w:val="00CE25BF"/>
    <w:rsid w:val="00CE2CF5"/>
    <w:rsid w:val="00CE7561"/>
    <w:rsid w:val="00CF07DF"/>
    <w:rsid w:val="00CF1354"/>
    <w:rsid w:val="00CF2323"/>
    <w:rsid w:val="00CF397E"/>
    <w:rsid w:val="00CF3B1F"/>
    <w:rsid w:val="00CF3BF6"/>
    <w:rsid w:val="00CF5F66"/>
    <w:rsid w:val="00CF625B"/>
    <w:rsid w:val="00CF687E"/>
    <w:rsid w:val="00CF7A46"/>
    <w:rsid w:val="00D0349B"/>
    <w:rsid w:val="00D05FBC"/>
    <w:rsid w:val="00D10249"/>
    <w:rsid w:val="00D115C3"/>
    <w:rsid w:val="00D11897"/>
    <w:rsid w:val="00D12B8C"/>
    <w:rsid w:val="00D13135"/>
    <w:rsid w:val="00D13E4E"/>
    <w:rsid w:val="00D16C0D"/>
    <w:rsid w:val="00D21062"/>
    <w:rsid w:val="00D236DB"/>
    <w:rsid w:val="00D239A7"/>
    <w:rsid w:val="00D23F47"/>
    <w:rsid w:val="00D30191"/>
    <w:rsid w:val="00D3076C"/>
    <w:rsid w:val="00D31620"/>
    <w:rsid w:val="00D31958"/>
    <w:rsid w:val="00D36E71"/>
    <w:rsid w:val="00D37D87"/>
    <w:rsid w:val="00D4019C"/>
    <w:rsid w:val="00D402A6"/>
    <w:rsid w:val="00D40B33"/>
    <w:rsid w:val="00D40E62"/>
    <w:rsid w:val="00D4318F"/>
    <w:rsid w:val="00D438BF"/>
    <w:rsid w:val="00D440F8"/>
    <w:rsid w:val="00D45354"/>
    <w:rsid w:val="00D50546"/>
    <w:rsid w:val="00D540AF"/>
    <w:rsid w:val="00D546FF"/>
    <w:rsid w:val="00D55AD5"/>
    <w:rsid w:val="00D576CA"/>
    <w:rsid w:val="00D57E1C"/>
    <w:rsid w:val="00D618CD"/>
    <w:rsid w:val="00D61AF5"/>
    <w:rsid w:val="00D652B5"/>
    <w:rsid w:val="00D65F32"/>
    <w:rsid w:val="00D66155"/>
    <w:rsid w:val="00D708B0"/>
    <w:rsid w:val="00D72C16"/>
    <w:rsid w:val="00D75251"/>
    <w:rsid w:val="00D77B1D"/>
    <w:rsid w:val="00D8021F"/>
    <w:rsid w:val="00D80383"/>
    <w:rsid w:val="00D817E5"/>
    <w:rsid w:val="00D81BC1"/>
    <w:rsid w:val="00D823C6"/>
    <w:rsid w:val="00D8327F"/>
    <w:rsid w:val="00D842C0"/>
    <w:rsid w:val="00D86CA3"/>
    <w:rsid w:val="00D871CE"/>
    <w:rsid w:val="00D9196D"/>
    <w:rsid w:val="00D92982"/>
    <w:rsid w:val="00D947A5"/>
    <w:rsid w:val="00DA1E39"/>
    <w:rsid w:val="00DA305E"/>
    <w:rsid w:val="00DA3366"/>
    <w:rsid w:val="00DA4056"/>
    <w:rsid w:val="00DA5417"/>
    <w:rsid w:val="00DA56E8"/>
    <w:rsid w:val="00DA7879"/>
    <w:rsid w:val="00DB0361"/>
    <w:rsid w:val="00DB0A9F"/>
    <w:rsid w:val="00DB21D2"/>
    <w:rsid w:val="00DB2C82"/>
    <w:rsid w:val="00DB377D"/>
    <w:rsid w:val="00DC2D36"/>
    <w:rsid w:val="00DC3C76"/>
    <w:rsid w:val="00DC4C72"/>
    <w:rsid w:val="00DC53EF"/>
    <w:rsid w:val="00DD4203"/>
    <w:rsid w:val="00DE1E60"/>
    <w:rsid w:val="00DE303D"/>
    <w:rsid w:val="00DE5608"/>
    <w:rsid w:val="00DE583A"/>
    <w:rsid w:val="00DE58D0"/>
    <w:rsid w:val="00DE5D65"/>
    <w:rsid w:val="00DE654F"/>
    <w:rsid w:val="00DE7130"/>
    <w:rsid w:val="00DE7279"/>
    <w:rsid w:val="00DF0B6E"/>
    <w:rsid w:val="00DF15E0"/>
    <w:rsid w:val="00DF1AD9"/>
    <w:rsid w:val="00DF2451"/>
    <w:rsid w:val="00DF37A0"/>
    <w:rsid w:val="00DF7C68"/>
    <w:rsid w:val="00E011B9"/>
    <w:rsid w:val="00E05C9A"/>
    <w:rsid w:val="00E0657E"/>
    <w:rsid w:val="00E110E7"/>
    <w:rsid w:val="00E11B20"/>
    <w:rsid w:val="00E16A03"/>
    <w:rsid w:val="00E16CCB"/>
    <w:rsid w:val="00E177C5"/>
    <w:rsid w:val="00E17FA2"/>
    <w:rsid w:val="00E2029A"/>
    <w:rsid w:val="00E2189A"/>
    <w:rsid w:val="00E21E37"/>
    <w:rsid w:val="00E22330"/>
    <w:rsid w:val="00E2633E"/>
    <w:rsid w:val="00E30B5A"/>
    <w:rsid w:val="00E3123D"/>
    <w:rsid w:val="00E31461"/>
    <w:rsid w:val="00E315DB"/>
    <w:rsid w:val="00E31D43"/>
    <w:rsid w:val="00E32608"/>
    <w:rsid w:val="00E32E42"/>
    <w:rsid w:val="00E34188"/>
    <w:rsid w:val="00E34B6E"/>
    <w:rsid w:val="00E35318"/>
    <w:rsid w:val="00E35559"/>
    <w:rsid w:val="00E366A8"/>
    <w:rsid w:val="00E3723A"/>
    <w:rsid w:val="00E37860"/>
    <w:rsid w:val="00E4280E"/>
    <w:rsid w:val="00E4426A"/>
    <w:rsid w:val="00E446F1"/>
    <w:rsid w:val="00E45081"/>
    <w:rsid w:val="00E45B2F"/>
    <w:rsid w:val="00E46886"/>
    <w:rsid w:val="00E46EB3"/>
    <w:rsid w:val="00E47AEF"/>
    <w:rsid w:val="00E53B75"/>
    <w:rsid w:val="00E54E3B"/>
    <w:rsid w:val="00E567F3"/>
    <w:rsid w:val="00E57565"/>
    <w:rsid w:val="00E62756"/>
    <w:rsid w:val="00E62C45"/>
    <w:rsid w:val="00E63838"/>
    <w:rsid w:val="00E64434"/>
    <w:rsid w:val="00E67179"/>
    <w:rsid w:val="00E679A7"/>
    <w:rsid w:val="00E67C51"/>
    <w:rsid w:val="00E72EFC"/>
    <w:rsid w:val="00E73E3D"/>
    <w:rsid w:val="00E758EC"/>
    <w:rsid w:val="00E764B3"/>
    <w:rsid w:val="00E76B28"/>
    <w:rsid w:val="00E76C9B"/>
    <w:rsid w:val="00E8234C"/>
    <w:rsid w:val="00E824B9"/>
    <w:rsid w:val="00E83AA9"/>
    <w:rsid w:val="00E85928"/>
    <w:rsid w:val="00E87073"/>
    <w:rsid w:val="00E87822"/>
    <w:rsid w:val="00E90395"/>
    <w:rsid w:val="00E904DB"/>
    <w:rsid w:val="00E90E49"/>
    <w:rsid w:val="00E917F9"/>
    <w:rsid w:val="00E9291C"/>
    <w:rsid w:val="00E93FFE"/>
    <w:rsid w:val="00E94F8A"/>
    <w:rsid w:val="00EA028D"/>
    <w:rsid w:val="00EA7A41"/>
    <w:rsid w:val="00EB077B"/>
    <w:rsid w:val="00EB4EA2"/>
    <w:rsid w:val="00EB60F2"/>
    <w:rsid w:val="00EB6C7A"/>
    <w:rsid w:val="00EB7550"/>
    <w:rsid w:val="00EC24D5"/>
    <w:rsid w:val="00EC27C6"/>
    <w:rsid w:val="00EC3B42"/>
    <w:rsid w:val="00EC4207"/>
    <w:rsid w:val="00EC5653"/>
    <w:rsid w:val="00EC569D"/>
    <w:rsid w:val="00EC71CE"/>
    <w:rsid w:val="00EC75CE"/>
    <w:rsid w:val="00ED1006"/>
    <w:rsid w:val="00ED1134"/>
    <w:rsid w:val="00ED18F4"/>
    <w:rsid w:val="00ED4CE6"/>
    <w:rsid w:val="00EE0E14"/>
    <w:rsid w:val="00EE41E5"/>
    <w:rsid w:val="00EE4694"/>
    <w:rsid w:val="00EE6BF9"/>
    <w:rsid w:val="00EE7BB0"/>
    <w:rsid w:val="00EF18FE"/>
    <w:rsid w:val="00EF3931"/>
    <w:rsid w:val="00EF3E9D"/>
    <w:rsid w:val="00EF51DF"/>
    <w:rsid w:val="00EF5787"/>
    <w:rsid w:val="00EF60D0"/>
    <w:rsid w:val="00EF6217"/>
    <w:rsid w:val="00EF63C5"/>
    <w:rsid w:val="00EF6A2B"/>
    <w:rsid w:val="00EF7812"/>
    <w:rsid w:val="00F04565"/>
    <w:rsid w:val="00F0528D"/>
    <w:rsid w:val="00F06C67"/>
    <w:rsid w:val="00F06DFD"/>
    <w:rsid w:val="00F071D1"/>
    <w:rsid w:val="00F07533"/>
    <w:rsid w:val="00F10629"/>
    <w:rsid w:val="00F140F1"/>
    <w:rsid w:val="00F1419B"/>
    <w:rsid w:val="00F15FA5"/>
    <w:rsid w:val="00F16934"/>
    <w:rsid w:val="00F201F8"/>
    <w:rsid w:val="00F207D8"/>
    <w:rsid w:val="00F20844"/>
    <w:rsid w:val="00F209B7"/>
    <w:rsid w:val="00F21A09"/>
    <w:rsid w:val="00F2376F"/>
    <w:rsid w:val="00F243D8"/>
    <w:rsid w:val="00F2797F"/>
    <w:rsid w:val="00F30828"/>
    <w:rsid w:val="00F313D6"/>
    <w:rsid w:val="00F32CEC"/>
    <w:rsid w:val="00F353ED"/>
    <w:rsid w:val="00F36985"/>
    <w:rsid w:val="00F40F0C"/>
    <w:rsid w:val="00F4766C"/>
    <w:rsid w:val="00F47B83"/>
    <w:rsid w:val="00F5043B"/>
    <w:rsid w:val="00F5060E"/>
    <w:rsid w:val="00F507D1"/>
    <w:rsid w:val="00F519CE"/>
    <w:rsid w:val="00F51ADA"/>
    <w:rsid w:val="00F60203"/>
    <w:rsid w:val="00F6022A"/>
    <w:rsid w:val="00F607C5"/>
    <w:rsid w:val="00F60B00"/>
    <w:rsid w:val="00F60DEA"/>
    <w:rsid w:val="00F615EC"/>
    <w:rsid w:val="00F6302A"/>
    <w:rsid w:val="00F63950"/>
    <w:rsid w:val="00F63DFB"/>
    <w:rsid w:val="00F64C2B"/>
    <w:rsid w:val="00F651BE"/>
    <w:rsid w:val="00F66D9D"/>
    <w:rsid w:val="00F67F53"/>
    <w:rsid w:val="00F703BE"/>
    <w:rsid w:val="00F71F69"/>
    <w:rsid w:val="00F72B72"/>
    <w:rsid w:val="00F74009"/>
    <w:rsid w:val="00F742C3"/>
    <w:rsid w:val="00F74BB9"/>
    <w:rsid w:val="00F75582"/>
    <w:rsid w:val="00F76EFA"/>
    <w:rsid w:val="00F804BE"/>
    <w:rsid w:val="00F817CE"/>
    <w:rsid w:val="00F8456C"/>
    <w:rsid w:val="00F85972"/>
    <w:rsid w:val="00F859D8"/>
    <w:rsid w:val="00F868F5"/>
    <w:rsid w:val="00F9056A"/>
    <w:rsid w:val="00F90F8D"/>
    <w:rsid w:val="00F912B1"/>
    <w:rsid w:val="00F91E1C"/>
    <w:rsid w:val="00F92782"/>
    <w:rsid w:val="00F93AA9"/>
    <w:rsid w:val="00F94891"/>
    <w:rsid w:val="00F95F2E"/>
    <w:rsid w:val="00F96985"/>
    <w:rsid w:val="00F97838"/>
    <w:rsid w:val="00FA1CAF"/>
    <w:rsid w:val="00FA2BB3"/>
    <w:rsid w:val="00FA3B34"/>
    <w:rsid w:val="00FA6042"/>
    <w:rsid w:val="00FB0BEA"/>
    <w:rsid w:val="00FB2878"/>
    <w:rsid w:val="00FB4C80"/>
    <w:rsid w:val="00FB58ED"/>
    <w:rsid w:val="00FB6A6A"/>
    <w:rsid w:val="00FC3D72"/>
    <w:rsid w:val="00FC422C"/>
    <w:rsid w:val="00FC7429"/>
    <w:rsid w:val="00FD07F6"/>
    <w:rsid w:val="00FD198D"/>
    <w:rsid w:val="00FD1EBB"/>
    <w:rsid w:val="00FD1EC8"/>
    <w:rsid w:val="00FD22BA"/>
    <w:rsid w:val="00FD47ED"/>
    <w:rsid w:val="00FD74DB"/>
    <w:rsid w:val="00FD7660"/>
    <w:rsid w:val="00FE0655"/>
    <w:rsid w:val="00FE2365"/>
    <w:rsid w:val="00FE37D7"/>
    <w:rsid w:val="00FE4378"/>
    <w:rsid w:val="00FE4C7B"/>
    <w:rsid w:val="00FE7336"/>
    <w:rsid w:val="00FE787C"/>
    <w:rsid w:val="00FE7FD8"/>
    <w:rsid w:val="00FF2B41"/>
    <w:rsid w:val="00FF45A5"/>
    <w:rsid w:val="00FF5AE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97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C769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6974"/>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5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link w:val="TACChar"/>
    <w:qFormat/>
    <w:rsid w:val="00E366A8"/>
    <w:pPr>
      <w:jc w:val="center"/>
    </w:pPr>
  </w:style>
  <w:style w:type="paragraph" w:customStyle="1" w:styleId="TAH">
    <w:name w:val="TAH"/>
    <w:basedOn w:val="TAC"/>
    <w:link w:val="TAHCar"/>
    <w:qFormat/>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qFormat/>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qFormat/>
    <w:locked/>
    <w:rsid w:val="00E366A8"/>
    <w:rPr>
      <w:rFonts w:ascii="Arial" w:hAnsi="Arial"/>
      <w:b/>
      <w:sz w:val="18"/>
      <w:lang w:val="x-none" w:eastAsia="x-none"/>
    </w:rPr>
  </w:style>
  <w:style w:type="character" w:customStyle="1" w:styleId="THChar">
    <w:name w:val="TH Char"/>
    <w:link w:val="TH"/>
    <w:qFormat/>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TACChar">
    <w:name w:val="TAC Char"/>
    <w:link w:val="TAC"/>
    <w:qFormat/>
    <w:locked/>
    <w:rsid w:val="0025466E"/>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978652">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586883987">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731659422">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 w:id="214037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151EA-0786-4C04-A079-94096101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5695</Words>
  <Characters>32462</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38081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2022-01-11T22:43:00Z</dcterms:created>
  <dcterms:modified xsi:type="dcterms:W3CDTF">2022-01-11T22:43:00Z</dcterms:modified>
  <cp:category/>
</cp:coreProperties>
</file>